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BA13E" w14:textId="4BBCA43B" w:rsidR="00682132" w:rsidRPr="00682132" w:rsidRDefault="00682132" w:rsidP="00682132">
      <w:pPr>
        <w:jc w:val="center"/>
        <w:rPr>
          <w:b/>
        </w:rPr>
      </w:pPr>
      <w:r w:rsidRPr="00682132">
        <w:rPr>
          <w:b/>
        </w:rPr>
        <w:t>LONDON BOROUGH OF BARNET (COLINDALE STATION REDEVELOPMENT) COMPULSORY PURCHASE ORDER 2020</w:t>
      </w:r>
    </w:p>
    <w:p w14:paraId="2B6C8232" w14:textId="77777777" w:rsidR="00682132" w:rsidRDefault="00682132" w:rsidP="009F78C5">
      <w:pPr>
        <w:jc w:val="center"/>
        <w:rPr>
          <w:b/>
        </w:rPr>
      </w:pPr>
    </w:p>
    <w:p w14:paraId="10E6201A" w14:textId="77777777" w:rsidR="00790EB3" w:rsidRDefault="00B17779" w:rsidP="009F78C5">
      <w:pPr>
        <w:jc w:val="center"/>
        <w:rPr>
          <w:b/>
        </w:rPr>
      </w:pPr>
      <w:r>
        <w:rPr>
          <w:b/>
        </w:rPr>
        <w:t>SECTION 226(1)</w:t>
      </w:r>
      <w:r w:rsidR="00585894">
        <w:rPr>
          <w:b/>
        </w:rPr>
        <w:t>(</w:t>
      </w:r>
      <w:r>
        <w:rPr>
          <w:b/>
        </w:rPr>
        <w:t>a</w:t>
      </w:r>
      <w:r w:rsidR="00585894">
        <w:rPr>
          <w:b/>
        </w:rPr>
        <w:t>)</w:t>
      </w:r>
      <w:r>
        <w:rPr>
          <w:b/>
        </w:rPr>
        <w:t xml:space="preserve"> OF THE TOWN AND COUNTRY PLANNING ACT 1990 </w:t>
      </w:r>
    </w:p>
    <w:p w14:paraId="2B423D83" w14:textId="276DD633" w:rsidR="0074336B" w:rsidRDefault="0074336B" w:rsidP="009F78C5">
      <w:pPr>
        <w:jc w:val="center"/>
        <w:rPr>
          <w:b/>
        </w:rPr>
      </w:pPr>
      <w:r>
        <w:rPr>
          <w:b/>
        </w:rPr>
        <w:t>SECTION 13 OF THE LOCAL GOVERNMENT (MISCELLANEOUS PROVISIONS) ACT 1976</w:t>
      </w:r>
    </w:p>
    <w:p w14:paraId="01693F45" w14:textId="676A438F" w:rsidR="00B17779" w:rsidRDefault="00B17779" w:rsidP="00790EB3">
      <w:pPr>
        <w:spacing w:after="120" w:line="360" w:lineRule="auto"/>
        <w:jc w:val="center"/>
        <w:rPr>
          <w:b/>
        </w:rPr>
      </w:pPr>
      <w:r w:rsidRPr="00790EB3">
        <w:rPr>
          <w:b/>
        </w:rPr>
        <w:t>AND</w:t>
      </w:r>
      <w:r>
        <w:rPr>
          <w:b/>
        </w:rPr>
        <w:t xml:space="preserve"> THE ACQUISITION OF LAND ACT 1981</w:t>
      </w:r>
    </w:p>
    <w:p w14:paraId="72AEB50A" w14:textId="77777777" w:rsidR="00790EB3" w:rsidRDefault="00790EB3" w:rsidP="00790EB3">
      <w:pPr>
        <w:spacing w:after="120" w:line="360" w:lineRule="auto"/>
        <w:jc w:val="center"/>
        <w:rPr>
          <w:b/>
        </w:rPr>
      </w:pPr>
    </w:p>
    <w:p w14:paraId="2D209183" w14:textId="77777777" w:rsidR="0074336B" w:rsidRDefault="00790EB3" w:rsidP="00790EB3">
      <w:pPr>
        <w:spacing w:after="120" w:line="360" w:lineRule="auto"/>
        <w:jc w:val="center"/>
        <w:rPr>
          <w:b/>
        </w:rPr>
      </w:pPr>
      <w:r w:rsidRPr="00790EB3">
        <w:rPr>
          <w:b/>
        </w:rPr>
        <w:t xml:space="preserve">COMPULSORY PURCHASE OF LAND </w:t>
      </w:r>
      <w:r w:rsidR="0074336B">
        <w:rPr>
          <w:b/>
        </w:rPr>
        <w:t xml:space="preserve">AND NEW RIGHTS </w:t>
      </w:r>
      <w:r w:rsidRPr="00790EB3">
        <w:rPr>
          <w:b/>
        </w:rPr>
        <w:t xml:space="preserve">AT THE </w:t>
      </w:r>
    </w:p>
    <w:p w14:paraId="7EDD3D6D" w14:textId="627AC43E" w:rsidR="00790EB3" w:rsidRPr="00790EB3" w:rsidRDefault="00682132" w:rsidP="00790EB3">
      <w:pPr>
        <w:spacing w:after="120" w:line="360" w:lineRule="auto"/>
        <w:jc w:val="center"/>
        <w:rPr>
          <w:b/>
        </w:rPr>
      </w:pPr>
      <w:r>
        <w:rPr>
          <w:b/>
        </w:rPr>
        <w:t>COLINDALE STATION</w:t>
      </w:r>
      <w:r w:rsidR="00790EB3" w:rsidRPr="00790EB3">
        <w:rPr>
          <w:b/>
        </w:rPr>
        <w:t xml:space="preserve"> </w:t>
      </w:r>
      <w:r>
        <w:rPr>
          <w:b/>
        </w:rPr>
        <w:t>REDEVELOPMENT</w:t>
      </w:r>
      <w:r w:rsidR="00790EB3" w:rsidRPr="00790EB3">
        <w:rPr>
          <w:b/>
        </w:rPr>
        <w:t xml:space="preserve"> </w:t>
      </w:r>
      <w:r w:rsidR="00B30F94">
        <w:rPr>
          <w:b/>
        </w:rPr>
        <w:t xml:space="preserve">IN COLINDALE AVENUE </w:t>
      </w:r>
    </w:p>
    <w:p w14:paraId="336436A5" w14:textId="088A6F38" w:rsidR="00790EB3" w:rsidRDefault="00790EB3" w:rsidP="00790EB3">
      <w:pPr>
        <w:spacing w:after="120" w:line="360" w:lineRule="auto"/>
        <w:jc w:val="center"/>
        <w:rPr>
          <w:b/>
        </w:rPr>
      </w:pPr>
      <w:r w:rsidRPr="00790EB3">
        <w:rPr>
          <w:b/>
        </w:rPr>
        <w:t>IN THE LONDON BOROUGH OF BARNET</w:t>
      </w:r>
    </w:p>
    <w:p w14:paraId="7AEBC3E6" w14:textId="77777777" w:rsidR="004D16AF" w:rsidRDefault="004D16AF">
      <w:pPr>
        <w:rPr>
          <w:b/>
        </w:rPr>
      </w:pPr>
    </w:p>
    <w:p w14:paraId="7508DEA4" w14:textId="7F60DF96" w:rsidR="0074336B" w:rsidRDefault="0074336B" w:rsidP="0074336B">
      <w:pPr>
        <w:overflowPunct w:val="0"/>
        <w:autoSpaceDE w:val="0"/>
        <w:autoSpaceDN w:val="0"/>
        <w:adjustRightInd w:val="0"/>
        <w:spacing w:after="0" w:line="360" w:lineRule="auto"/>
        <w:ind w:right="-99"/>
        <w:jc w:val="both"/>
        <w:rPr>
          <w:rFonts w:eastAsia="Times New Roman" w:cs="Arial"/>
          <w:lang w:eastAsia="en-GB"/>
        </w:rPr>
      </w:pPr>
      <w:r w:rsidRPr="0074336B">
        <w:rPr>
          <w:rFonts w:eastAsia="Times New Roman" w:cs="Arial"/>
          <w:lang w:eastAsia="en-GB"/>
        </w:rPr>
        <w:t xml:space="preserve">Notice is hereby given that </w:t>
      </w:r>
      <w:r w:rsidR="001F3189">
        <w:rPr>
          <w:rFonts w:eastAsia="Times New Roman" w:cs="Arial"/>
          <w:lang w:eastAsia="en-GB"/>
        </w:rPr>
        <w:t xml:space="preserve">on </w:t>
      </w:r>
      <w:r w:rsidRPr="0074336B">
        <w:rPr>
          <w:rFonts w:eastAsia="Times New Roman" w:cs="Arial"/>
          <w:lang w:eastAsia="en-GB"/>
        </w:rPr>
        <w:t xml:space="preserve">the </w:t>
      </w:r>
      <w:r w:rsidR="008220E6">
        <w:rPr>
          <w:rFonts w:eastAsia="Times New Roman" w:cs="Arial"/>
          <w:lang w:eastAsia="en-GB"/>
        </w:rPr>
        <w:t>12</w:t>
      </w:r>
      <w:r w:rsidR="008220E6" w:rsidRPr="008220E6">
        <w:rPr>
          <w:rFonts w:eastAsia="Times New Roman" w:cs="Arial"/>
          <w:vertAlign w:val="superscript"/>
          <w:lang w:eastAsia="en-GB"/>
        </w:rPr>
        <w:t>th</w:t>
      </w:r>
      <w:r w:rsidR="008220E6">
        <w:rPr>
          <w:rFonts w:eastAsia="Times New Roman" w:cs="Arial"/>
          <w:lang w:eastAsia="en-GB"/>
        </w:rPr>
        <w:t xml:space="preserve"> </w:t>
      </w:r>
      <w:r w:rsidR="00682132">
        <w:rPr>
          <w:rFonts w:eastAsia="Times New Roman" w:cs="Arial"/>
          <w:lang w:eastAsia="en-GB"/>
        </w:rPr>
        <w:t>March 2020</w:t>
      </w:r>
      <w:r w:rsidR="001F3189">
        <w:rPr>
          <w:rFonts w:eastAsia="Times New Roman" w:cs="Arial"/>
          <w:lang w:eastAsia="en-GB"/>
        </w:rPr>
        <w:t xml:space="preserve"> the </w:t>
      </w:r>
      <w:r w:rsidRPr="0074336B">
        <w:rPr>
          <w:rFonts w:eastAsia="Times New Roman" w:cs="Arial"/>
          <w:lang w:eastAsia="en-GB"/>
        </w:rPr>
        <w:t>London Borough of Barnet made the London Borough of Barnet (</w:t>
      </w:r>
      <w:r w:rsidR="00682132">
        <w:rPr>
          <w:rFonts w:eastAsia="Times New Roman" w:cs="Arial"/>
          <w:lang w:eastAsia="en-GB"/>
        </w:rPr>
        <w:t>Colindale Station Redevelopment</w:t>
      </w:r>
      <w:r w:rsidRPr="0074336B">
        <w:rPr>
          <w:rFonts w:eastAsia="Times New Roman" w:cs="Arial"/>
          <w:lang w:eastAsia="en-GB"/>
        </w:rPr>
        <w:t xml:space="preserve">) Compulsory Purchase Order </w:t>
      </w:r>
      <w:r w:rsidR="00682132">
        <w:rPr>
          <w:rFonts w:eastAsia="Times New Roman" w:cs="Arial"/>
          <w:lang w:eastAsia="en-GB"/>
        </w:rPr>
        <w:t>2020</w:t>
      </w:r>
      <w:r w:rsidRPr="0074336B">
        <w:rPr>
          <w:rFonts w:eastAsia="Times New Roman" w:cs="Arial"/>
          <w:lang w:eastAsia="en-GB"/>
        </w:rPr>
        <w:t xml:space="preserve"> (the "Order") under Section 226 (1) (a) of the Town and Country Planning Act 1990, Section 13 of the Local Government (Miscellaneous Provisions) Act 1976 and the Acquisition of Land Act 1981. It is about to submit this Order to the </w:t>
      </w:r>
      <w:r w:rsidR="00EE29B7" w:rsidRPr="00EE29B7">
        <w:rPr>
          <w:rFonts w:eastAsia="Times New Roman" w:cs="Arial"/>
          <w:lang w:eastAsia="en-GB"/>
        </w:rPr>
        <w:t>Secretary of State for Housing, Communities and Local Government</w:t>
      </w:r>
      <w:r w:rsidR="00EE29B7">
        <w:rPr>
          <w:rFonts w:eastAsia="Times New Roman" w:cs="Arial"/>
          <w:lang w:eastAsia="en-GB"/>
        </w:rPr>
        <w:t xml:space="preserve"> </w:t>
      </w:r>
      <w:r w:rsidRPr="0074336B">
        <w:rPr>
          <w:rFonts w:eastAsia="Times New Roman" w:cs="Arial"/>
          <w:lang w:eastAsia="en-GB"/>
        </w:rPr>
        <w:t xml:space="preserve">for confirmation, and if confirmed, the Order will authorise the London Borough of Barnet to purchase compulsorily the land and the new rights as described below for the purpose of facilitating the carrying out of development, redevelopment or improvement on or in relation </w:t>
      </w:r>
      <w:r w:rsidR="00682132" w:rsidRPr="00682132">
        <w:rPr>
          <w:rFonts w:eastAsia="Times New Roman" w:cs="Arial"/>
          <w:lang w:eastAsia="en-GB"/>
        </w:rPr>
        <w:t>to the land namely a replacement station, ticket hall building with step free access and a mixed use development of residential and commercial uses, public realm improvements and associated highway works.</w:t>
      </w:r>
    </w:p>
    <w:p w14:paraId="6776DE66" w14:textId="77777777" w:rsidR="00864B37" w:rsidRPr="0074336B" w:rsidRDefault="00864B37" w:rsidP="0074336B">
      <w:pPr>
        <w:overflowPunct w:val="0"/>
        <w:autoSpaceDE w:val="0"/>
        <w:autoSpaceDN w:val="0"/>
        <w:adjustRightInd w:val="0"/>
        <w:spacing w:after="0" w:line="360" w:lineRule="auto"/>
        <w:ind w:right="-99"/>
        <w:jc w:val="both"/>
        <w:rPr>
          <w:rFonts w:eastAsia="Times New Roman" w:cs="Arial"/>
          <w:lang w:eastAsia="en-GB"/>
        </w:rPr>
      </w:pPr>
    </w:p>
    <w:p w14:paraId="70523655" w14:textId="4C13503A" w:rsidR="0074336B" w:rsidRPr="0074336B" w:rsidRDefault="0074336B" w:rsidP="0074336B">
      <w:pPr>
        <w:overflowPunct w:val="0"/>
        <w:autoSpaceDE w:val="0"/>
        <w:autoSpaceDN w:val="0"/>
        <w:adjustRightInd w:val="0"/>
        <w:spacing w:after="0" w:line="360" w:lineRule="auto"/>
        <w:ind w:right="-99"/>
        <w:jc w:val="both"/>
        <w:rPr>
          <w:rFonts w:eastAsia="Times New Roman" w:cs="Arial"/>
          <w:lang w:eastAsia="en-GB"/>
        </w:rPr>
      </w:pPr>
      <w:r w:rsidRPr="0074336B">
        <w:rPr>
          <w:rFonts w:eastAsia="Times New Roman" w:cs="Arial"/>
          <w:lang w:eastAsia="en-GB"/>
        </w:rPr>
        <w:t>A copy of the Order</w:t>
      </w:r>
      <w:r w:rsidR="007C77D3">
        <w:rPr>
          <w:rFonts w:eastAsia="Times New Roman" w:cs="Arial"/>
          <w:lang w:eastAsia="en-GB"/>
        </w:rPr>
        <w:t>, Schedule,</w:t>
      </w:r>
      <w:r w:rsidRPr="0074336B">
        <w:rPr>
          <w:rFonts w:eastAsia="Times New Roman" w:cs="Arial"/>
          <w:lang w:eastAsia="en-GB"/>
        </w:rPr>
        <w:t xml:space="preserve"> accompanying </w:t>
      </w:r>
      <w:r w:rsidR="007C77D3">
        <w:rPr>
          <w:rFonts w:eastAsia="Times New Roman" w:cs="Arial"/>
          <w:lang w:eastAsia="en-GB"/>
        </w:rPr>
        <w:t>M</w:t>
      </w:r>
      <w:r w:rsidRPr="0074336B">
        <w:rPr>
          <w:rFonts w:eastAsia="Times New Roman" w:cs="Arial"/>
          <w:lang w:eastAsia="en-GB"/>
        </w:rPr>
        <w:t>ap</w:t>
      </w:r>
      <w:r w:rsidR="007C77D3">
        <w:rPr>
          <w:rFonts w:eastAsia="Times New Roman" w:cs="Arial"/>
          <w:lang w:eastAsia="en-GB"/>
        </w:rPr>
        <w:t xml:space="preserve"> and Statement of Reasons</w:t>
      </w:r>
      <w:r w:rsidRPr="0074336B">
        <w:rPr>
          <w:rFonts w:eastAsia="Times New Roman" w:cs="Arial"/>
          <w:lang w:eastAsia="en-GB"/>
        </w:rPr>
        <w:t xml:space="preserve"> may be </w:t>
      </w:r>
      <w:r w:rsidR="00D82021">
        <w:rPr>
          <w:rFonts w:eastAsia="Times New Roman" w:cs="Arial"/>
          <w:lang w:eastAsia="en-GB"/>
        </w:rPr>
        <w:t>viewed on the Council’s website-</w:t>
      </w:r>
      <w:r w:rsidR="006E3CBD" w:rsidRPr="006E3CBD">
        <w:rPr>
          <w:rFonts w:eastAsia="Times New Roman" w:cs="Arial"/>
          <w:lang w:eastAsia="en-GB"/>
        </w:rPr>
        <w:t xml:space="preserve"> </w:t>
      </w:r>
      <w:hyperlink r:id="rId9" w:history="1">
        <w:r w:rsidR="00FF0281" w:rsidRPr="008D5D7C">
          <w:rPr>
            <w:rStyle w:val="Hyperlink"/>
            <w:rFonts w:eastAsia="Times New Roman" w:cs="Arial"/>
            <w:lang w:eastAsia="en-GB"/>
          </w:rPr>
          <w:t>www.barnet.gov.uk/regeneration/colindale</w:t>
        </w:r>
      </w:hyperlink>
      <w:r w:rsidR="00FF0281">
        <w:rPr>
          <w:rFonts w:eastAsia="Times New Roman" w:cs="Arial"/>
          <w:lang w:eastAsia="en-GB"/>
        </w:rPr>
        <w:t xml:space="preserve"> </w:t>
      </w:r>
      <w:r w:rsidRPr="0074336B">
        <w:rPr>
          <w:rFonts w:eastAsia="Times New Roman" w:cs="Arial"/>
          <w:lang w:eastAsia="en-GB"/>
        </w:rPr>
        <w:t>and during normal working hours at the following locations:</w:t>
      </w:r>
    </w:p>
    <w:p w14:paraId="41838A12" w14:textId="77777777" w:rsidR="00D3334B" w:rsidRPr="00D3334B" w:rsidRDefault="00D3334B" w:rsidP="00D3334B">
      <w:pPr>
        <w:spacing w:after="0" w:line="360" w:lineRule="auto"/>
        <w:ind w:left="729"/>
        <w:rPr>
          <w:rFonts w:eastAsia="Calibri" w:cs="Arial"/>
        </w:rPr>
      </w:pPr>
      <w:r w:rsidRPr="00D3334B">
        <w:rPr>
          <w:rFonts w:eastAsia="Calibri" w:cs="Arial"/>
        </w:rPr>
        <w:t xml:space="preserve">1.         Reception, Hendon Town Hall, The Burroughs, London, NW4 4BG; </w:t>
      </w:r>
    </w:p>
    <w:p w14:paraId="6E54AC94" w14:textId="4E7CE76A" w:rsidR="00D3334B" w:rsidRPr="00D3334B" w:rsidRDefault="00D3334B" w:rsidP="00D3334B">
      <w:pPr>
        <w:spacing w:after="0" w:line="360" w:lineRule="auto"/>
        <w:ind w:left="729"/>
        <w:rPr>
          <w:rFonts w:eastAsia="Calibri" w:cs="Arial"/>
        </w:rPr>
      </w:pPr>
      <w:r w:rsidRPr="00D3334B">
        <w:rPr>
          <w:rFonts w:eastAsia="Calibri" w:cs="Arial"/>
        </w:rPr>
        <w:t xml:space="preserve">2.         Reception, </w:t>
      </w:r>
      <w:r w:rsidR="00F02293">
        <w:rPr>
          <w:rFonts w:eastAsia="Calibri" w:cs="Arial"/>
        </w:rPr>
        <w:t>2 Bristol Avenue, Colindale London NW9 4BR;</w:t>
      </w:r>
      <w:r w:rsidRPr="00D3334B">
        <w:rPr>
          <w:rFonts w:eastAsia="Calibri" w:cs="Arial"/>
        </w:rPr>
        <w:t xml:space="preserve"> </w:t>
      </w:r>
    </w:p>
    <w:p w14:paraId="23D426A9" w14:textId="09E8F38A" w:rsidR="00D3334B" w:rsidRDefault="00D3334B" w:rsidP="00D3334B">
      <w:pPr>
        <w:spacing w:after="0" w:line="360" w:lineRule="auto"/>
        <w:ind w:left="729"/>
        <w:rPr>
          <w:rFonts w:eastAsia="Calibri" w:cs="Arial"/>
        </w:rPr>
      </w:pPr>
      <w:r w:rsidRPr="00D3334B">
        <w:rPr>
          <w:rFonts w:eastAsia="Calibri" w:cs="Arial"/>
        </w:rPr>
        <w:t>3.         Hendon Library, The B</w:t>
      </w:r>
      <w:r>
        <w:rPr>
          <w:rFonts w:eastAsia="Calibri" w:cs="Arial"/>
        </w:rPr>
        <w:t xml:space="preserve">urroughs, London, NW4 4BG;  </w:t>
      </w:r>
    </w:p>
    <w:p w14:paraId="75C31D33" w14:textId="77777777" w:rsidR="00D3334B" w:rsidRPr="00B469C6" w:rsidRDefault="00D3334B" w:rsidP="00D3334B">
      <w:pPr>
        <w:spacing w:after="0" w:line="240" w:lineRule="auto"/>
        <w:ind w:left="731"/>
        <w:rPr>
          <w:rFonts w:eastAsia="Calibri" w:cs="Arial"/>
        </w:rPr>
      </w:pPr>
    </w:p>
    <w:p w14:paraId="0969135E" w14:textId="3AE32E25" w:rsidR="00064BE4" w:rsidRDefault="00064BE4" w:rsidP="00D3334B">
      <w:pPr>
        <w:spacing w:after="0" w:line="360" w:lineRule="auto"/>
        <w:ind w:left="729"/>
        <w:rPr>
          <w:rFonts w:eastAsia="Calibri" w:cs="Arial"/>
        </w:rPr>
      </w:pPr>
    </w:p>
    <w:p w14:paraId="78624C0B" w14:textId="77777777" w:rsidR="00415A03" w:rsidRDefault="00415A03" w:rsidP="00D3334B">
      <w:pPr>
        <w:spacing w:after="0" w:line="360" w:lineRule="auto"/>
        <w:ind w:left="729"/>
        <w:rPr>
          <w:rFonts w:eastAsia="Calibri" w:cs="Arial"/>
        </w:rPr>
      </w:pPr>
    </w:p>
    <w:p w14:paraId="1228058F" w14:textId="77777777" w:rsidR="00D12A15" w:rsidRPr="002D56AE" w:rsidRDefault="00D12A15" w:rsidP="00D3334B">
      <w:pPr>
        <w:spacing w:after="0" w:line="360" w:lineRule="auto"/>
        <w:ind w:left="729"/>
        <w:rPr>
          <w:rFonts w:eastAsia="Calibri" w:cs="Arial"/>
        </w:rPr>
      </w:pPr>
    </w:p>
    <w:p w14:paraId="51677509" w14:textId="77777777" w:rsidR="0074336B" w:rsidRPr="0074336B" w:rsidRDefault="0074336B" w:rsidP="0074336B">
      <w:pPr>
        <w:overflowPunct w:val="0"/>
        <w:autoSpaceDE w:val="0"/>
        <w:autoSpaceDN w:val="0"/>
        <w:adjustRightInd w:val="0"/>
        <w:spacing w:after="0" w:line="360" w:lineRule="auto"/>
        <w:ind w:left="360" w:right="-99"/>
        <w:jc w:val="both"/>
        <w:rPr>
          <w:rFonts w:eastAsia="Times New Roman" w:cs="Arial"/>
          <w:lang w:eastAsia="en-GB"/>
        </w:rPr>
      </w:pPr>
    </w:p>
    <w:p w14:paraId="69F643AA" w14:textId="3FD14045" w:rsidR="004A19CC" w:rsidRPr="004A19CC" w:rsidRDefault="004A19CC" w:rsidP="004A19CC">
      <w:pPr>
        <w:overflowPunct w:val="0"/>
        <w:autoSpaceDE w:val="0"/>
        <w:autoSpaceDN w:val="0"/>
        <w:adjustRightInd w:val="0"/>
        <w:spacing w:after="0" w:line="360" w:lineRule="auto"/>
        <w:ind w:left="720" w:right="-99" w:hanging="720"/>
        <w:jc w:val="both"/>
        <w:rPr>
          <w:rFonts w:eastAsia="Times New Roman" w:cs="Arial"/>
          <w:lang w:eastAsia="en-GB"/>
        </w:rPr>
      </w:pPr>
      <w:r w:rsidRPr="004A19CC">
        <w:rPr>
          <w:rFonts w:eastAsia="Times New Roman" w:cs="Arial"/>
          <w:lang w:eastAsia="en-GB"/>
        </w:rPr>
        <w:lastRenderedPageBreak/>
        <w:t>1.</w:t>
      </w:r>
      <w:r w:rsidRPr="004A19CC">
        <w:rPr>
          <w:rFonts w:eastAsia="Times New Roman" w:cs="Arial"/>
          <w:lang w:eastAsia="en-GB"/>
        </w:rPr>
        <w:tab/>
        <w:t xml:space="preserve">If no relevant objection as defined in Section 13(6) of the Acquisition of Land Act 1981 is made, or if all such objections made are withdrawn, or if the Confirming Authority is satisfied that every objection made either relates exclusively to matters of compensation which can be dealt with by the Upper Tribunal or amounts in substance to an objection to the provisions of the development plan defining the proposed use of any land comprised in the </w:t>
      </w:r>
      <w:r w:rsidR="00491546">
        <w:rPr>
          <w:rFonts w:eastAsia="Times New Roman" w:cs="Arial"/>
          <w:lang w:eastAsia="en-GB"/>
        </w:rPr>
        <w:t>O</w:t>
      </w:r>
      <w:r w:rsidRPr="004A19CC">
        <w:rPr>
          <w:rFonts w:eastAsia="Times New Roman" w:cs="Arial"/>
          <w:lang w:eastAsia="en-GB"/>
        </w:rPr>
        <w:t xml:space="preserve">rder, the Confirming Authority may confirm the </w:t>
      </w:r>
      <w:r w:rsidR="00491546">
        <w:rPr>
          <w:rFonts w:eastAsia="Times New Roman" w:cs="Arial"/>
          <w:lang w:eastAsia="en-GB"/>
        </w:rPr>
        <w:t>O</w:t>
      </w:r>
      <w:r w:rsidRPr="004A19CC">
        <w:rPr>
          <w:rFonts w:eastAsia="Times New Roman" w:cs="Arial"/>
          <w:lang w:eastAsia="en-GB"/>
        </w:rPr>
        <w:t>rder with or without modifications.</w:t>
      </w:r>
    </w:p>
    <w:p w14:paraId="278ECD4B" w14:textId="77777777" w:rsidR="004A19CC" w:rsidRPr="004A19CC" w:rsidRDefault="004A19CC" w:rsidP="004A19CC">
      <w:pPr>
        <w:overflowPunct w:val="0"/>
        <w:autoSpaceDE w:val="0"/>
        <w:autoSpaceDN w:val="0"/>
        <w:adjustRightInd w:val="0"/>
        <w:spacing w:after="0" w:line="360" w:lineRule="auto"/>
        <w:ind w:right="-99"/>
        <w:jc w:val="both"/>
        <w:rPr>
          <w:rFonts w:eastAsia="Times New Roman" w:cs="Arial"/>
          <w:lang w:eastAsia="en-GB"/>
        </w:rPr>
      </w:pPr>
    </w:p>
    <w:p w14:paraId="2C667C61" w14:textId="3A6FAFA7" w:rsidR="004A19CC" w:rsidRPr="004A19CC" w:rsidRDefault="004A19CC" w:rsidP="004A19CC">
      <w:pPr>
        <w:overflowPunct w:val="0"/>
        <w:autoSpaceDE w:val="0"/>
        <w:autoSpaceDN w:val="0"/>
        <w:adjustRightInd w:val="0"/>
        <w:spacing w:after="0" w:line="360" w:lineRule="auto"/>
        <w:ind w:left="720" w:right="-99" w:hanging="720"/>
        <w:jc w:val="both"/>
        <w:rPr>
          <w:rFonts w:eastAsia="Times New Roman" w:cs="Arial"/>
          <w:lang w:eastAsia="en-GB"/>
        </w:rPr>
      </w:pPr>
      <w:r w:rsidRPr="004A19CC">
        <w:rPr>
          <w:rFonts w:eastAsia="Times New Roman" w:cs="Arial"/>
          <w:lang w:eastAsia="en-GB"/>
        </w:rPr>
        <w:t>2.</w:t>
      </w:r>
      <w:r w:rsidRPr="004A19CC">
        <w:rPr>
          <w:rFonts w:eastAsia="Times New Roman" w:cs="Arial"/>
          <w:lang w:eastAsia="en-GB"/>
        </w:rPr>
        <w:tab/>
        <w:t xml:space="preserve">In any other case where a relevant objection has been made which is not withdrawn or disregarded, the Confirming Authority is required, before confirming the </w:t>
      </w:r>
      <w:r w:rsidR="00491546">
        <w:rPr>
          <w:rFonts w:eastAsia="Times New Roman" w:cs="Arial"/>
          <w:lang w:eastAsia="en-GB"/>
        </w:rPr>
        <w:t>O</w:t>
      </w:r>
      <w:r w:rsidRPr="004A19CC">
        <w:rPr>
          <w:rFonts w:eastAsia="Times New Roman" w:cs="Arial"/>
          <w:lang w:eastAsia="en-GB"/>
        </w:rPr>
        <w:t>rder either:</w:t>
      </w:r>
    </w:p>
    <w:p w14:paraId="72BE6FAD" w14:textId="77777777" w:rsidR="004A19CC" w:rsidRPr="004A19CC" w:rsidRDefault="004A19CC" w:rsidP="004A19CC">
      <w:pPr>
        <w:overflowPunct w:val="0"/>
        <w:autoSpaceDE w:val="0"/>
        <w:autoSpaceDN w:val="0"/>
        <w:adjustRightInd w:val="0"/>
        <w:spacing w:after="0" w:line="360" w:lineRule="auto"/>
        <w:ind w:left="709" w:right="-99"/>
        <w:jc w:val="both"/>
        <w:rPr>
          <w:rFonts w:eastAsia="Times New Roman" w:cs="Arial"/>
          <w:lang w:eastAsia="en-GB"/>
        </w:rPr>
      </w:pPr>
      <w:proofErr w:type="spellStart"/>
      <w:r w:rsidRPr="004A19CC">
        <w:rPr>
          <w:rFonts w:eastAsia="Times New Roman" w:cs="Arial"/>
          <w:lang w:eastAsia="en-GB"/>
        </w:rPr>
        <w:t>i</w:t>
      </w:r>
      <w:proofErr w:type="spellEnd"/>
      <w:r w:rsidRPr="004A19CC">
        <w:rPr>
          <w:rFonts w:eastAsia="Times New Roman" w:cs="Arial"/>
          <w:lang w:eastAsia="en-GB"/>
        </w:rPr>
        <w:t>.</w:t>
      </w:r>
      <w:r w:rsidRPr="004A19CC">
        <w:rPr>
          <w:rFonts w:eastAsia="Times New Roman" w:cs="Arial"/>
          <w:lang w:eastAsia="en-GB"/>
        </w:rPr>
        <w:tab/>
        <w:t>to cause a public local inquiry to be held; or</w:t>
      </w:r>
    </w:p>
    <w:p w14:paraId="0ECF22E8" w14:textId="77777777" w:rsidR="004A19CC" w:rsidRPr="004A19CC" w:rsidRDefault="004A19CC" w:rsidP="004A19CC">
      <w:pPr>
        <w:overflowPunct w:val="0"/>
        <w:autoSpaceDE w:val="0"/>
        <w:autoSpaceDN w:val="0"/>
        <w:adjustRightInd w:val="0"/>
        <w:spacing w:after="0" w:line="360" w:lineRule="auto"/>
        <w:ind w:left="1440" w:right="-99" w:hanging="731"/>
        <w:jc w:val="both"/>
        <w:rPr>
          <w:rFonts w:eastAsia="Times New Roman" w:cs="Arial"/>
          <w:lang w:eastAsia="en-GB"/>
        </w:rPr>
      </w:pPr>
      <w:r w:rsidRPr="004A19CC">
        <w:rPr>
          <w:rFonts w:eastAsia="Times New Roman" w:cs="Arial"/>
          <w:lang w:eastAsia="en-GB"/>
        </w:rPr>
        <w:t>ii.</w:t>
      </w:r>
      <w:r w:rsidRPr="004A19CC">
        <w:rPr>
          <w:rFonts w:eastAsia="Times New Roman" w:cs="Arial"/>
          <w:lang w:eastAsia="en-GB"/>
        </w:rPr>
        <w:tab/>
        <w:t>to afford to the objector an opportunity of appearing before and being heard by a person appointed by the Confirming Authority for the purpose; or</w:t>
      </w:r>
    </w:p>
    <w:p w14:paraId="3B7AD6DA" w14:textId="77777777" w:rsidR="004A19CC" w:rsidRPr="004A19CC" w:rsidRDefault="004A19CC" w:rsidP="004A19CC">
      <w:pPr>
        <w:overflowPunct w:val="0"/>
        <w:autoSpaceDE w:val="0"/>
        <w:autoSpaceDN w:val="0"/>
        <w:adjustRightInd w:val="0"/>
        <w:spacing w:after="0" w:line="360" w:lineRule="auto"/>
        <w:ind w:right="-99" w:firstLine="709"/>
        <w:jc w:val="both"/>
        <w:rPr>
          <w:rFonts w:eastAsia="Times New Roman" w:cs="Arial"/>
          <w:lang w:eastAsia="en-GB"/>
        </w:rPr>
      </w:pPr>
      <w:r w:rsidRPr="004A19CC">
        <w:rPr>
          <w:rFonts w:eastAsia="Times New Roman" w:cs="Arial"/>
          <w:lang w:eastAsia="en-GB"/>
        </w:rPr>
        <w:t>iii.</w:t>
      </w:r>
      <w:r w:rsidRPr="004A19CC">
        <w:rPr>
          <w:rFonts w:eastAsia="Times New Roman" w:cs="Arial"/>
          <w:lang w:eastAsia="en-GB"/>
        </w:rPr>
        <w:tab/>
        <w:t>with the consent of the objector to follow a written representations procedure.</w:t>
      </w:r>
    </w:p>
    <w:p w14:paraId="7291485A" w14:textId="77777777" w:rsidR="004A19CC" w:rsidRPr="004A19CC" w:rsidRDefault="004A19CC" w:rsidP="004A19CC">
      <w:pPr>
        <w:overflowPunct w:val="0"/>
        <w:autoSpaceDE w:val="0"/>
        <w:autoSpaceDN w:val="0"/>
        <w:adjustRightInd w:val="0"/>
        <w:spacing w:after="0" w:line="360" w:lineRule="auto"/>
        <w:ind w:right="-99"/>
        <w:jc w:val="both"/>
        <w:rPr>
          <w:rFonts w:eastAsia="Times New Roman" w:cs="Arial"/>
          <w:lang w:eastAsia="en-GB"/>
        </w:rPr>
      </w:pPr>
    </w:p>
    <w:p w14:paraId="3619D4A3" w14:textId="68E841CD" w:rsidR="004A19CC" w:rsidRDefault="004A19CC" w:rsidP="004A19CC">
      <w:pPr>
        <w:overflowPunct w:val="0"/>
        <w:autoSpaceDE w:val="0"/>
        <w:autoSpaceDN w:val="0"/>
        <w:adjustRightInd w:val="0"/>
        <w:spacing w:after="0" w:line="360" w:lineRule="auto"/>
        <w:ind w:left="709" w:right="-99" w:hanging="709"/>
        <w:jc w:val="both"/>
        <w:rPr>
          <w:rFonts w:eastAsia="Times New Roman" w:cs="Arial"/>
          <w:lang w:eastAsia="en-GB"/>
        </w:rPr>
      </w:pPr>
      <w:r w:rsidRPr="004A19CC">
        <w:rPr>
          <w:rFonts w:eastAsia="Times New Roman" w:cs="Arial"/>
          <w:lang w:eastAsia="en-GB"/>
        </w:rPr>
        <w:t>3.</w:t>
      </w:r>
      <w:r w:rsidRPr="004A19CC">
        <w:rPr>
          <w:rFonts w:eastAsia="Times New Roman" w:cs="Arial"/>
          <w:lang w:eastAsia="en-GB"/>
        </w:rPr>
        <w:tab/>
        <w:t xml:space="preserve">The Confirming Authority may then, after considering the objection(s) and the report of the person who held the inquiry or hearing or considered the written representations, confirm the </w:t>
      </w:r>
      <w:r w:rsidR="00491546">
        <w:rPr>
          <w:rFonts w:eastAsia="Times New Roman" w:cs="Arial"/>
          <w:lang w:eastAsia="en-GB"/>
        </w:rPr>
        <w:t>O</w:t>
      </w:r>
      <w:r w:rsidRPr="004A19CC">
        <w:rPr>
          <w:rFonts w:eastAsia="Times New Roman" w:cs="Arial"/>
          <w:lang w:eastAsia="en-GB"/>
        </w:rPr>
        <w:t xml:space="preserve">rder with or without modifications. In the event that there is no objection, whether by a qualifying person or otherwise, the Confirming Authority may in certain circumstances permit the Acquiring Authority to determine the confirmation of the </w:t>
      </w:r>
      <w:r w:rsidR="00491546">
        <w:rPr>
          <w:rFonts w:eastAsia="Times New Roman" w:cs="Arial"/>
          <w:lang w:eastAsia="en-GB"/>
        </w:rPr>
        <w:t>O</w:t>
      </w:r>
      <w:r w:rsidRPr="004A19CC">
        <w:rPr>
          <w:rFonts w:eastAsia="Times New Roman" w:cs="Arial"/>
          <w:lang w:eastAsia="en-GB"/>
        </w:rPr>
        <w:t>rder.</w:t>
      </w:r>
    </w:p>
    <w:p w14:paraId="2EEF3539" w14:textId="77777777" w:rsidR="004A19CC" w:rsidRDefault="004A19CC" w:rsidP="004A19CC">
      <w:pPr>
        <w:pStyle w:val="ListParagraph"/>
        <w:overflowPunct w:val="0"/>
        <w:autoSpaceDE w:val="0"/>
        <w:autoSpaceDN w:val="0"/>
        <w:adjustRightInd w:val="0"/>
        <w:spacing w:after="0" w:line="360" w:lineRule="auto"/>
        <w:ind w:right="-99"/>
        <w:jc w:val="both"/>
        <w:rPr>
          <w:rFonts w:eastAsia="Times New Roman" w:cs="Arial"/>
          <w:lang w:eastAsia="en-GB"/>
        </w:rPr>
      </w:pPr>
    </w:p>
    <w:p w14:paraId="0901BFF3" w14:textId="5C149D74" w:rsidR="0074336B" w:rsidRPr="004A19CC" w:rsidRDefault="004A19CC" w:rsidP="004A19CC">
      <w:pPr>
        <w:overflowPunct w:val="0"/>
        <w:autoSpaceDE w:val="0"/>
        <w:autoSpaceDN w:val="0"/>
        <w:adjustRightInd w:val="0"/>
        <w:spacing w:after="0" w:line="360" w:lineRule="auto"/>
        <w:ind w:left="709" w:right="-99" w:hanging="709"/>
        <w:jc w:val="both"/>
        <w:rPr>
          <w:rFonts w:eastAsia="Times New Roman" w:cs="Arial"/>
          <w:lang w:eastAsia="en-GB"/>
        </w:rPr>
      </w:pPr>
      <w:r>
        <w:rPr>
          <w:rFonts w:eastAsia="Times New Roman" w:cs="Arial"/>
          <w:lang w:eastAsia="en-GB"/>
        </w:rPr>
        <w:t>4.</w:t>
      </w:r>
      <w:r>
        <w:rPr>
          <w:rFonts w:eastAsia="Times New Roman" w:cs="Arial"/>
          <w:lang w:eastAsia="en-GB"/>
        </w:rPr>
        <w:tab/>
      </w:r>
      <w:r w:rsidR="0074336B" w:rsidRPr="004A19CC">
        <w:rPr>
          <w:rFonts w:eastAsia="Times New Roman" w:cs="Arial"/>
          <w:lang w:eastAsia="en-GB"/>
        </w:rPr>
        <w:t xml:space="preserve">Any objection to the Order must be made in writing to the </w:t>
      </w:r>
      <w:r w:rsidR="007939A7" w:rsidRPr="004A19CC">
        <w:rPr>
          <w:rFonts w:eastAsia="Times New Roman" w:cs="Arial"/>
          <w:lang w:eastAsia="en-GB"/>
        </w:rPr>
        <w:t xml:space="preserve">Secretary of State for Housing, Communities and Local Government </w:t>
      </w:r>
      <w:r w:rsidR="0074336B" w:rsidRPr="004A19CC">
        <w:rPr>
          <w:rFonts w:eastAsia="Times New Roman" w:cs="Arial"/>
          <w:lang w:eastAsia="en-GB"/>
        </w:rPr>
        <w:t xml:space="preserve">at the </w:t>
      </w:r>
      <w:r w:rsidR="0074336B" w:rsidRPr="00CC00EC">
        <w:rPr>
          <w:rFonts w:eastAsia="Times New Roman" w:cs="Arial"/>
          <w:b/>
          <w:lang w:eastAsia="en-GB"/>
        </w:rPr>
        <w:t xml:space="preserve">National Planning Casework Unit, 5 St Philips Place, </w:t>
      </w:r>
      <w:proofErr w:type="spellStart"/>
      <w:r w:rsidR="0074336B" w:rsidRPr="00CC00EC">
        <w:rPr>
          <w:rFonts w:eastAsia="Times New Roman" w:cs="Arial"/>
          <w:b/>
          <w:lang w:eastAsia="en-GB"/>
        </w:rPr>
        <w:t>Colmore</w:t>
      </w:r>
      <w:proofErr w:type="spellEnd"/>
      <w:r w:rsidR="0074336B" w:rsidRPr="00CC00EC">
        <w:rPr>
          <w:rFonts w:eastAsia="Times New Roman" w:cs="Arial"/>
          <w:b/>
          <w:lang w:eastAsia="en-GB"/>
        </w:rPr>
        <w:t xml:space="preserve"> Row, Birmingham, B3 2PW </w:t>
      </w:r>
      <w:r w:rsidR="003A4ED8" w:rsidRPr="00CC00EC">
        <w:rPr>
          <w:rFonts w:eastAsia="Times New Roman" w:cs="Arial"/>
          <w:b/>
          <w:lang w:eastAsia="en-GB"/>
        </w:rPr>
        <w:t>(</w:t>
      </w:r>
      <w:hyperlink r:id="rId10" w:history="1">
        <w:r w:rsidR="002D56AE" w:rsidRPr="00CC00EC">
          <w:rPr>
            <w:b/>
            <w:lang w:eastAsia="en-GB"/>
          </w:rPr>
          <w:t>pcu@communities.gov.uk</w:t>
        </w:r>
      </w:hyperlink>
      <w:r w:rsidR="003A4ED8" w:rsidRPr="00CC00EC">
        <w:rPr>
          <w:rFonts w:eastAsia="Times New Roman" w:cs="Arial"/>
          <w:b/>
          <w:lang w:eastAsia="en-GB"/>
        </w:rPr>
        <w:t xml:space="preserve">) </w:t>
      </w:r>
      <w:r w:rsidR="0074336B" w:rsidRPr="00CC00EC">
        <w:rPr>
          <w:rFonts w:eastAsia="Times New Roman" w:cs="Arial"/>
          <w:b/>
          <w:lang w:eastAsia="en-GB"/>
        </w:rPr>
        <w:t xml:space="preserve">no later than </w:t>
      </w:r>
      <w:r w:rsidR="00B85524" w:rsidRPr="00CC00EC">
        <w:rPr>
          <w:rFonts w:eastAsia="Times New Roman" w:cs="Arial"/>
          <w:b/>
          <w:lang w:eastAsia="en-GB"/>
        </w:rPr>
        <w:t xml:space="preserve">Friday </w:t>
      </w:r>
      <w:r w:rsidR="008220E6">
        <w:rPr>
          <w:rFonts w:eastAsia="Times New Roman" w:cs="Arial"/>
          <w:b/>
          <w:lang w:eastAsia="en-GB"/>
        </w:rPr>
        <w:t>17</w:t>
      </w:r>
      <w:r w:rsidR="008220E6" w:rsidRPr="008220E6">
        <w:rPr>
          <w:rFonts w:eastAsia="Times New Roman" w:cs="Arial"/>
          <w:b/>
          <w:vertAlign w:val="superscript"/>
          <w:lang w:eastAsia="en-GB"/>
        </w:rPr>
        <w:t>th</w:t>
      </w:r>
      <w:r w:rsidR="008220E6">
        <w:rPr>
          <w:rFonts w:eastAsia="Times New Roman" w:cs="Arial"/>
          <w:b/>
          <w:lang w:eastAsia="en-GB"/>
        </w:rPr>
        <w:t xml:space="preserve"> </w:t>
      </w:r>
      <w:r w:rsidR="009D12DB" w:rsidRPr="00CC00EC">
        <w:rPr>
          <w:rFonts w:eastAsia="Times New Roman" w:cs="Arial"/>
          <w:b/>
          <w:lang w:eastAsia="en-GB"/>
        </w:rPr>
        <w:t>April 2020</w:t>
      </w:r>
      <w:r w:rsidR="00B85524" w:rsidRPr="00CC00EC">
        <w:rPr>
          <w:rFonts w:eastAsia="Times New Roman" w:cs="Arial"/>
          <w:b/>
          <w:lang w:eastAsia="en-GB"/>
        </w:rPr>
        <w:t xml:space="preserve"> </w:t>
      </w:r>
      <w:r w:rsidR="0074336B" w:rsidRPr="00CC00EC">
        <w:rPr>
          <w:rFonts w:eastAsia="Times New Roman" w:cs="Arial"/>
          <w:lang w:eastAsia="en-GB"/>
        </w:rPr>
        <w:t>a</w:t>
      </w:r>
      <w:r w:rsidR="0074336B" w:rsidRPr="004A19CC">
        <w:rPr>
          <w:rFonts w:eastAsia="Times New Roman" w:cs="Arial"/>
          <w:lang w:eastAsia="en-GB"/>
        </w:rPr>
        <w:t>nd should state the title of the Order, the grounds of objection and the objector's address and interests in the Order land.</w:t>
      </w:r>
    </w:p>
    <w:p w14:paraId="232D936A" w14:textId="77777777" w:rsidR="0074336B" w:rsidRDefault="0074336B" w:rsidP="0074336B">
      <w:pPr>
        <w:spacing w:after="0" w:line="360" w:lineRule="auto"/>
        <w:ind w:right="-49"/>
        <w:jc w:val="both"/>
        <w:rPr>
          <w:rFonts w:eastAsia="Times New Roman" w:cs="Arial"/>
          <w:lang w:eastAsia="en-GB"/>
        </w:rPr>
      </w:pPr>
    </w:p>
    <w:p w14:paraId="49F05F34" w14:textId="77777777" w:rsidR="00491546" w:rsidRDefault="00491546" w:rsidP="0074336B">
      <w:pPr>
        <w:spacing w:after="0" w:line="360" w:lineRule="auto"/>
        <w:ind w:right="-49"/>
        <w:jc w:val="both"/>
        <w:rPr>
          <w:rFonts w:eastAsia="Times New Roman" w:cs="Arial"/>
          <w:lang w:eastAsia="en-GB"/>
        </w:rPr>
      </w:pPr>
    </w:p>
    <w:p w14:paraId="2581337F" w14:textId="77777777" w:rsidR="00491546" w:rsidRDefault="00491546" w:rsidP="0074336B">
      <w:pPr>
        <w:spacing w:after="0" w:line="360" w:lineRule="auto"/>
        <w:ind w:right="-49"/>
        <w:jc w:val="both"/>
        <w:rPr>
          <w:rFonts w:eastAsia="Times New Roman" w:cs="Arial"/>
          <w:lang w:eastAsia="en-GB"/>
        </w:rPr>
      </w:pPr>
    </w:p>
    <w:p w14:paraId="68A14E4D" w14:textId="77777777" w:rsidR="00491546" w:rsidRDefault="00491546" w:rsidP="0074336B">
      <w:pPr>
        <w:spacing w:after="0" w:line="360" w:lineRule="auto"/>
        <w:ind w:right="-49"/>
        <w:jc w:val="both"/>
        <w:rPr>
          <w:rFonts w:eastAsia="Times New Roman" w:cs="Arial"/>
          <w:lang w:eastAsia="en-GB"/>
        </w:rPr>
      </w:pPr>
    </w:p>
    <w:p w14:paraId="0F45BE89" w14:textId="77777777" w:rsidR="00491546" w:rsidRDefault="00491546" w:rsidP="0074336B">
      <w:pPr>
        <w:spacing w:after="0" w:line="360" w:lineRule="auto"/>
        <w:ind w:right="-49"/>
        <w:jc w:val="both"/>
        <w:rPr>
          <w:rFonts w:eastAsia="Times New Roman" w:cs="Arial"/>
          <w:lang w:eastAsia="en-GB"/>
        </w:rPr>
      </w:pPr>
    </w:p>
    <w:p w14:paraId="01AB4A17" w14:textId="77777777" w:rsidR="00491546" w:rsidRDefault="00491546" w:rsidP="0074336B">
      <w:pPr>
        <w:spacing w:after="0" w:line="360" w:lineRule="auto"/>
        <w:ind w:right="-49"/>
        <w:jc w:val="both"/>
        <w:rPr>
          <w:rFonts w:eastAsia="Times New Roman" w:cs="Arial"/>
          <w:lang w:eastAsia="en-GB"/>
        </w:rPr>
      </w:pPr>
    </w:p>
    <w:p w14:paraId="2346104D" w14:textId="77777777" w:rsidR="00491546" w:rsidRDefault="00491546" w:rsidP="0074336B">
      <w:pPr>
        <w:spacing w:after="0" w:line="360" w:lineRule="auto"/>
        <w:ind w:right="-49"/>
        <w:jc w:val="both"/>
        <w:rPr>
          <w:rFonts w:eastAsia="Times New Roman" w:cs="Arial"/>
          <w:lang w:eastAsia="en-GB"/>
        </w:rPr>
      </w:pPr>
    </w:p>
    <w:p w14:paraId="51EC1970" w14:textId="77777777" w:rsidR="00491546" w:rsidRDefault="00491546" w:rsidP="0074336B">
      <w:pPr>
        <w:spacing w:after="0" w:line="360" w:lineRule="auto"/>
        <w:ind w:right="-49"/>
        <w:jc w:val="both"/>
        <w:rPr>
          <w:rFonts w:eastAsia="Times New Roman" w:cs="Arial"/>
          <w:lang w:eastAsia="en-GB"/>
        </w:rPr>
      </w:pPr>
    </w:p>
    <w:p w14:paraId="6998C8C2" w14:textId="77777777" w:rsidR="00491546" w:rsidRPr="0074336B" w:rsidRDefault="00491546" w:rsidP="0074336B">
      <w:pPr>
        <w:spacing w:after="0" w:line="360" w:lineRule="auto"/>
        <w:ind w:right="-49"/>
        <w:jc w:val="both"/>
        <w:rPr>
          <w:rFonts w:eastAsia="Times New Roman" w:cs="Arial"/>
          <w:lang w:eastAsia="en-GB"/>
        </w:rPr>
      </w:pPr>
    </w:p>
    <w:p w14:paraId="2A598E25" w14:textId="77777777" w:rsidR="0074336B" w:rsidRPr="0074336B" w:rsidRDefault="0074336B" w:rsidP="0074336B">
      <w:pPr>
        <w:spacing w:after="0" w:line="360" w:lineRule="auto"/>
        <w:jc w:val="center"/>
        <w:rPr>
          <w:rFonts w:eastAsia="Times New Roman" w:cs="Arial"/>
          <w:lang w:eastAsia="en-GB"/>
        </w:rPr>
      </w:pPr>
      <w:r w:rsidRPr="0074336B">
        <w:rPr>
          <w:rFonts w:eastAsia="Times New Roman" w:cs="Arial"/>
          <w:b/>
          <w:bCs/>
          <w:lang w:eastAsia="en-GB"/>
        </w:rPr>
        <w:lastRenderedPageBreak/>
        <w:t xml:space="preserve">DESCRIPTION OF LAND AND RIGHTS TO BE ACQUIRED </w:t>
      </w:r>
    </w:p>
    <w:p w14:paraId="48AEF762" w14:textId="77777777" w:rsidR="0074336B" w:rsidRPr="0074336B" w:rsidRDefault="0074336B" w:rsidP="0074336B">
      <w:pPr>
        <w:spacing w:after="0" w:line="360" w:lineRule="auto"/>
        <w:jc w:val="both"/>
        <w:rPr>
          <w:rFonts w:eastAsia="Times New Roman" w:cs="Arial"/>
          <w:lang w:eastAsia="en-GB"/>
        </w:rPr>
      </w:pPr>
    </w:p>
    <w:p w14:paraId="7B55518D" w14:textId="5429EE73" w:rsidR="0074336B" w:rsidRPr="00587377" w:rsidRDefault="0074336B" w:rsidP="0074336B">
      <w:pPr>
        <w:spacing w:after="0" w:line="360" w:lineRule="auto"/>
        <w:jc w:val="both"/>
        <w:rPr>
          <w:rFonts w:eastAsia="Times New Roman" w:cs="Arial"/>
          <w:lang w:eastAsia="en-GB"/>
        </w:rPr>
      </w:pPr>
      <w:r w:rsidRPr="00587377">
        <w:rPr>
          <w:rFonts w:eastAsia="Times New Roman" w:cs="Arial"/>
          <w:lang w:eastAsia="en-GB"/>
        </w:rPr>
        <w:t>The land particularised in the Order and in the accompanying map, to be acquired, include</w:t>
      </w:r>
      <w:r w:rsidR="00A26359" w:rsidRPr="00587377">
        <w:rPr>
          <w:rFonts w:eastAsia="Times New Roman" w:cs="Arial"/>
          <w:lang w:eastAsia="en-GB"/>
        </w:rPr>
        <w:t>s</w:t>
      </w:r>
      <w:r w:rsidRPr="00587377">
        <w:rPr>
          <w:rFonts w:eastAsia="Times New Roman" w:cs="Arial"/>
          <w:lang w:eastAsia="en-GB"/>
        </w:rPr>
        <w:t xml:space="preserve"> the following:  </w:t>
      </w:r>
    </w:p>
    <w:p w14:paraId="13267E18" w14:textId="77777777" w:rsidR="0074336B" w:rsidRPr="00587377" w:rsidRDefault="0074336B" w:rsidP="0074336B">
      <w:pPr>
        <w:spacing w:after="0" w:line="360" w:lineRule="auto"/>
        <w:jc w:val="both"/>
        <w:rPr>
          <w:rFonts w:eastAsia="Times New Roman" w:cs="Arial"/>
          <w:lang w:eastAsia="en-GB"/>
        </w:rPr>
      </w:pPr>
    </w:p>
    <w:p w14:paraId="33D9DBC4" w14:textId="77777777" w:rsidR="00EE6A13" w:rsidRPr="00587377" w:rsidRDefault="00EE6A13" w:rsidP="00EE6A13">
      <w:pPr>
        <w:spacing w:after="0" w:line="360" w:lineRule="auto"/>
        <w:rPr>
          <w:rFonts w:eastAsia="Times New Roman" w:cs="Arial"/>
          <w:lang w:eastAsia="en-G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tblGrid>
      <w:tr w:rsidR="00E011F3" w14:paraId="3D70E003" w14:textId="77777777" w:rsidTr="00EE6A13">
        <w:tc>
          <w:tcPr>
            <w:tcW w:w="7716" w:type="dxa"/>
          </w:tcPr>
          <w:p w14:paraId="50BEA947" w14:textId="3E4D0CE7" w:rsidR="00E011F3" w:rsidRPr="00EE6A13" w:rsidRDefault="0041307B" w:rsidP="0041307B">
            <w:pPr>
              <w:pStyle w:val="ListParagraph"/>
              <w:numPr>
                <w:ilvl w:val="0"/>
                <w:numId w:val="12"/>
              </w:numPr>
              <w:spacing w:line="360" w:lineRule="auto"/>
              <w:rPr>
                <w:rFonts w:eastAsia="Times New Roman" w:cs="Arial"/>
                <w:lang w:eastAsia="en-GB"/>
              </w:rPr>
            </w:pPr>
            <w:r w:rsidRPr="0041307B">
              <w:rPr>
                <w:rFonts w:eastAsia="Times New Roman" w:cs="Arial"/>
                <w:lang w:eastAsia="en-GB"/>
              </w:rPr>
              <w:t>All interests in, over or under approximately 54 square metres of unregistered land</w:t>
            </w:r>
          </w:p>
        </w:tc>
      </w:tr>
      <w:tr w:rsidR="00E011F3" w14:paraId="26370720" w14:textId="77777777" w:rsidTr="00EE6A13">
        <w:tc>
          <w:tcPr>
            <w:tcW w:w="7716" w:type="dxa"/>
          </w:tcPr>
          <w:p w14:paraId="63C8B790" w14:textId="361BE5AF" w:rsidR="00E011F3" w:rsidRPr="00DA7E1B" w:rsidRDefault="0041307B" w:rsidP="0041307B">
            <w:pPr>
              <w:pStyle w:val="ListParagraph"/>
              <w:numPr>
                <w:ilvl w:val="0"/>
                <w:numId w:val="12"/>
              </w:numPr>
              <w:spacing w:line="360" w:lineRule="auto"/>
              <w:rPr>
                <w:rFonts w:eastAsia="Times New Roman" w:cs="Arial"/>
                <w:lang w:eastAsia="en-GB"/>
              </w:rPr>
            </w:pPr>
            <w:r w:rsidRPr="0041307B">
              <w:rPr>
                <w:rFonts w:eastAsia="Times New Roman" w:cs="Arial"/>
                <w:lang w:eastAsia="en-GB"/>
              </w:rPr>
              <w:t>All interests in, over or under approximately 140 square metres of land, house and garden known as 167 Colindale Avenue, London, NW9 5HX situated to the west and north of 167-171 Colindale Avenue</w:t>
            </w:r>
          </w:p>
        </w:tc>
      </w:tr>
      <w:tr w:rsidR="00E011F3" w14:paraId="0A4EBAD7" w14:textId="77777777" w:rsidTr="00EE6A13">
        <w:tc>
          <w:tcPr>
            <w:tcW w:w="7716" w:type="dxa"/>
          </w:tcPr>
          <w:p w14:paraId="10B4FCB1" w14:textId="3EAC4A26"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over or under approximately 148 square metres of land, house and garden known as 169 Colindale Avenue, London, NW9 5HX</w:t>
            </w:r>
          </w:p>
        </w:tc>
      </w:tr>
      <w:tr w:rsidR="00E011F3" w14:paraId="09B9D2E3" w14:textId="77777777" w:rsidTr="00EE6A13">
        <w:tc>
          <w:tcPr>
            <w:tcW w:w="7716" w:type="dxa"/>
          </w:tcPr>
          <w:p w14:paraId="24025D16" w14:textId="308B7162"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over or under approximately 144 square metres of land, house and garden known as 171 Colindale Avenue, London, NW9 5HX</w:t>
            </w:r>
          </w:p>
        </w:tc>
      </w:tr>
      <w:tr w:rsidR="00E011F3" w14:paraId="50C37221" w14:textId="77777777" w:rsidTr="00EE6A13">
        <w:tc>
          <w:tcPr>
            <w:tcW w:w="7716" w:type="dxa"/>
          </w:tcPr>
          <w:p w14:paraId="6B7709E4" w14:textId="7847E09D"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over or under approximately 135 square metres of land, house and garden known as 173 Colindale Avenue, London, NW9 5HX</w:t>
            </w:r>
          </w:p>
        </w:tc>
      </w:tr>
      <w:tr w:rsidR="00E011F3" w14:paraId="1ABBDB54" w14:textId="77777777" w:rsidTr="00EE6A13">
        <w:tc>
          <w:tcPr>
            <w:tcW w:w="7716" w:type="dxa"/>
          </w:tcPr>
          <w:p w14:paraId="56ABDFF7" w14:textId="3D810546"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over or under, approximately 97 square metres of land and garden known as Flat 1 and 2 Agar House, Colindale Avenue, London, NW9 5HJ</w:t>
            </w:r>
          </w:p>
        </w:tc>
      </w:tr>
      <w:tr w:rsidR="00E011F3" w14:paraId="1B03839D" w14:textId="77777777" w:rsidTr="00EE6A13">
        <w:tc>
          <w:tcPr>
            <w:tcW w:w="7716" w:type="dxa"/>
          </w:tcPr>
          <w:p w14:paraId="45B71092" w14:textId="2F5EEF79"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over or under approximately 59 square metres of residential flat known as Flat 1 and 2 Agar House, Colindale Avenue, London, NW9 5HJ</w:t>
            </w:r>
          </w:p>
        </w:tc>
      </w:tr>
      <w:tr w:rsidR="00E011F3" w14:paraId="10CF6962" w14:textId="77777777" w:rsidTr="00EE6A13">
        <w:tc>
          <w:tcPr>
            <w:tcW w:w="7716" w:type="dxa"/>
          </w:tcPr>
          <w:p w14:paraId="7CC79C98" w14:textId="1D931FD8"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over or under approximately 98 square metres of residential flat, garden and car parking space known as Flat 3 Agar House, Colindale Avenue, London, NW9 5HJ</w:t>
            </w:r>
          </w:p>
        </w:tc>
      </w:tr>
      <w:tr w:rsidR="00E011F3" w14:paraId="58083CA3" w14:textId="77777777" w:rsidTr="00EE6A13">
        <w:tc>
          <w:tcPr>
            <w:tcW w:w="7716" w:type="dxa"/>
          </w:tcPr>
          <w:p w14:paraId="058EF2E0" w14:textId="5505D274"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over or under approximately 105 square metres of residential flat, garden and car parking space known as Flat 4 Agar House, Colindale Avenue, NW9 5HJ</w:t>
            </w:r>
          </w:p>
        </w:tc>
      </w:tr>
      <w:tr w:rsidR="00E011F3" w14:paraId="45EC7F2B" w14:textId="77777777" w:rsidTr="00EE6A13">
        <w:tc>
          <w:tcPr>
            <w:tcW w:w="7716" w:type="dxa"/>
          </w:tcPr>
          <w:p w14:paraId="1254451F" w14:textId="7B838E62" w:rsidR="00E011F3" w:rsidRPr="004F331F" w:rsidRDefault="006703BD" w:rsidP="006703BD">
            <w:pPr>
              <w:pStyle w:val="ListParagraph"/>
              <w:numPr>
                <w:ilvl w:val="0"/>
                <w:numId w:val="12"/>
              </w:numPr>
              <w:spacing w:line="360" w:lineRule="auto"/>
              <w:jc w:val="both"/>
              <w:rPr>
                <w:rFonts w:eastAsia="Times New Roman" w:cs="Arial"/>
                <w:lang w:eastAsia="en-GB"/>
              </w:rPr>
            </w:pPr>
            <w:r w:rsidRPr="006703BD">
              <w:rPr>
                <w:rFonts w:eastAsia="Times New Roman" w:cs="Arial"/>
                <w:lang w:eastAsia="en-GB"/>
              </w:rPr>
              <w:t>All interests in, over or under approximately 61 square metres of residential flat known as Flat 5 and 6 Agar House, Colindale Avenue, London, NW9 5HJ</w:t>
            </w:r>
          </w:p>
        </w:tc>
      </w:tr>
      <w:tr w:rsidR="00E011F3" w14:paraId="24DAD051" w14:textId="77777777" w:rsidTr="00EE6A13">
        <w:tc>
          <w:tcPr>
            <w:tcW w:w="7716" w:type="dxa"/>
          </w:tcPr>
          <w:p w14:paraId="1D0A07D2" w14:textId="14EB0AAB"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 in, over or under approximately 144 square metres of land, garden, and car parking spaces situated to the rear of Flat 5 and 6 Agar House, Colindale Avenue, London, NW9 5HJ</w:t>
            </w:r>
          </w:p>
        </w:tc>
      </w:tr>
      <w:tr w:rsidR="00E011F3" w14:paraId="74956437" w14:textId="77777777" w:rsidTr="00EE6A13">
        <w:tc>
          <w:tcPr>
            <w:tcW w:w="7716" w:type="dxa"/>
          </w:tcPr>
          <w:p w14:paraId="0AB24889" w14:textId="2D15000A"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lastRenderedPageBreak/>
              <w:t>All interests in, over or under, approximately 36 square metres of land, garden and car parking space situated to the rear of Flat 5 and 6 Agar House, Colindale Avenue, London, NW9 5HJ</w:t>
            </w:r>
          </w:p>
        </w:tc>
      </w:tr>
      <w:tr w:rsidR="00E011F3" w14:paraId="71F5C167" w14:textId="77777777" w:rsidTr="00EE6A13">
        <w:tc>
          <w:tcPr>
            <w:tcW w:w="7716" w:type="dxa"/>
          </w:tcPr>
          <w:p w14:paraId="3289F7D7" w14:textId="7992EBC1"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under or over approximately 3 square metres of land situated to the west of Pasteur Close and north of Agar House, Colindale Avenue</w:t>
            </w:r>
          </w:p>
        </w:tc>
      </w:tr>
      <w:tr w:rsidR="00E011F3" w14:paraId="69A1BA91" w14:textId="77777777" w:rsidTr="00EE6A13">
        <w:tc>
          <w:tcPr>
            <w:tcW w:w="7716" w:type="dxa"/>
          </w:tcPr>
          <w:p w14:paraId="35A081D6" w14:textId="27CD4A2B"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under or over, approximately 12 square metres of land and car parking space situated to the rear of Flat 1 Agar House, Colindale Avenue, London, NW9 5HJ</w:t>
            </w:r>
          </w:p>
        </w:tc>
      </w:tr>
      <w:tr w:rsidR="00E011F3" w14:paraId="4FDA3212" w14:textId="77777777" w:rsidTr="00EE6A13">
        <w:tc>
          <w:tcPr>
            <w:tcW w:w="7716" w:type="dxa"/>
          </w:tcPr>
          <w:p w14:paraId="1394D5C9" w14:textId="1FB12610" w:rsidR="00E011F3" w:rsidRPr="004F331F" w:rsidRDefault="006703BD" w:rsidP="006703BD">
            <w:pPr>
              <w:pStyle w:val="ListParagraph"/>
              <w:numPr>
                <w:ilvl w:val="0"/>
                <w:numId w:val="12"/>
              </w:numPr>
              <w:spacing w:line="360" w:lineRule="auto"/>
              <w:rPr>
                <w:rFonts w:eastAsia="Times New Roman" w:cs="Arial"/>
                <w:lang w:eastAsia="en-GB"/>
              </w:rPr>
            </w:pPr>
            <w:r w:rsidRPr="006703BD">
              <w:rPr>
                <w:rFonts w:eastAsia="Times New Roman" w:cs="Arial"/>
                <w:lang w:eastAsia="en-GB"/>
              </w:rPr>
              <w:t>All interests in, under or over, approximately 32 square metres of car parking space, land, garden and car parking space known as Flat 2, Agar House, Colindale Avenue, London, NW9 5HJ</w:t>
            </w:r>
          </w:p>
        </w:tc>
      </w:tr>
      <w:tr w:rsidR="00E011F3" w14:paraId="7FAA9357" w14:textId="77777777" w:rsidTr="00EE6A13">
        <w:tc>
          <w:tcPr>
            <w:tcW w:w="7716" w:type="dxa"/>
          </w:tcPr>
          <w:p w14:paraId="59F74F50" w14:textId="29FF8D87" w:rsidR="00E011F3" w:rsidRPr="004F331F" w:rsidRDefault="004164C3" w:rsidP="004164C3">
            <w:pPr>
              <w:pStyle w:val="ListParagraph"/>
              <w:numPr>
                <w:ilvl w:val="0"/>
                <w:numId w:val="12"/>
              </w:numPr>
              <w:spacing w:line="360" w:lineRule="auto"/>
              <w:rPr>
                <w:rFonts w:eastAsia="Times New Roman" w:cs="Arial"/>
                <w:lang w:eastAsia="en-GB"/>
              </w:rPr>
            </w:pPr>
            <w:r w:rsidRPr="004164C3">
              <w:rPr>
                <w:rFonts w:eastAsia="Times New Roman" w:cs="Arial"/>
                <w:lang w:eastAsia="en-GB"/>
              </w:rPr>
              <w:t>All interests in, under or over approximately 6 square metres of unregistered land situated to the north of Agar House</w:t>
            </w:r>
          </w:p>
        </w:tc>
      </w:tr>
      <w:tr w:rsidR="00E011F3" w14:paraId="662B9FC8" w14:textId="77777777" w:rsidTr="00EE6A13">
        <w:tc>
          <w:tcPr>
            <w:tcW w:w="7716" w:type="dxa"/>
          </w:tcPr>
          <w:p w14:paraId="38030034" w14:textId="000204ED" w:rsidR="00E011F3" w:rsidRPr="004F331F" w:rsidRDefault="004164C3" w:rsidP="004164C3">
            <w:pPr>
              <w:pStyle w:val="ListParagraph"/>
              <w:numPr>
                <w:ilvl w:val="0"/>
                <w:numId w:val="12"/>
              </w:numPr>
              <w:spacing w:line="360" w:lineRule="auto"/>
              <w:rPr>
                <w:rFonts w:eastAsia="Times New Roman" w:cs="Arial"/>
                <w:lang w:eastAsia="en-GB"/>
              </w:rPr>
            </w:pPr>
            <w:r w:rsidRPr="004164C3">
              <w:rPr>
                <w:rFonts w:eastAsia="Times New Roman" w:cs="Arial"/>
                <w:lang w:eastAsia="en-GB"/>
              </w:rPr>
              <w:t>All interests in, under or over approximately 8 square metres of land north of Agar House, Colindale Avenue, London, NW9 5HJ</w:t>
            </w:r>
          </w:p>
        </w:tc>
      </w:tr>
      <w:tr w:rsidR="00E011F3" w14:paraId="12B26A22" w14:textId="77777777" w:rsidTr="00EE6A13">
        <w:tc>
          <w:tcPr>
            <w:tcW w:w="7716" w:type="dxa"/>
          </w:tcPr>
          <w:p w14:paraId="7FDB149B" w14:textId="2F409F84" w:rsidR="00E011F3" w:rsidRPr="004F331F" w:rsidRDefault="004164C3" w:rsidP="004164C3">
            <w:pPr>
              <w:pStyle w:val="ListParagraph"/>
              <w:numPr>
                <w:ilvl w:val="0"/>
                <w:numId w:val="12"/>
              </w:numPr>
              <w:spacing w:line="360" w:lineRule="auto"/>
              <w:rPr>
                <w:rFonts w:eastAsia="Times New Roman" w:cs="Arial"/>
                <w:lang w:eastAsia="en-GB"/>
              </w:rPr>
            </w:pPr>
            <w:r w:rsidRPr="004164C3">
              <w:rPr>
                <w:rFonts w:eastAsia="Times New Roman" w:cs="Arial"/>
                <w:lang w:eastAsia="en-GB"/>
              </w:rPr>
              <w:t>All interests in, under or over approximately 10 square metres of car parking space situated to the west of Pasteur Close and north of Agar House</w:t>
            </w:r>
          </w:p>
        </w:tc>
      </w:tr>
      <w:tr w:rsidR="00E011F3" w14:paraId="48798A4D" w14:textId="77777777" w:rsidTr="00EE6A13">
        <w:tc>
          <w:tcPr>
            <w:tcW w:w="7716" w:type="dxa"/>
          </w:tcPr>
          <w:p w14:paraId="60A58203" w14:textId="02B418E5" w:rsidR="00E011F3" w:rsidRPr="004F331F" w:rsidRDefault="004164C3" w:rsidP="004164C3">
            <w:pPr>
              <w:pStyle w:val="ListParagraph"/>
              <w:numPr>
                <w:ilvl w:val="0"/>
                <w:numId w:val="12"/>
              </w:numPr>
              <w:spacing w:line="360" w:lineRule="auto"/>
              <w:rPr>
                <w:rFonts w:eastAsia="Times New Roman" w:cs="Arial"/>
                <w:lang w:eastAsia="en-GB"/>
              </w:rPr>
            </w:pPr>
            <w:r w:rsidRPr="004164C3">
              <w:rPr>
                <w:rFonts w:eastAsia="Times New Roman" w:cs="Arial"/>
                <w:lang w:eastAsia="en-GB"/>
              </w:rPr>
              <w:t>All interests in, under or over approximately 3 square metres of unregistered land situated to the north of Agar House</w:t>
            </w:r>
          </w:p>
        </w:tc>
      </w:tr>
      <w:tr w:rsidR="00E011F3" w14:paraId="5CD6FA90" w14:textId="77777777" w:rsidTr="00EE6A13">
        <w:tc>
          <w:tcPr>
            <w:tcW w:w="7716" w:type="dxa"/>
          </w:tcPr>
          <w:p w14:paraId="5F1FAA59" w14:textId="6A54DA66" w:rsidR="00E011F3" w:rsidRPr="004F331F" w:rsidRDefault="004164C3" w:rsidP="004164C3">
            <w:pPr>
              <w:pStyle w:val="ListParagraph"/>
              <w:numPr>
                <w:ilvl w:val="0"/>
                <w:numId w:val="12"/>
              </w:numPr>
              <w:spacing w:line="360" w:lineRule="auto"/>
              <w:rPr>
                <w:rFonts w:eastAsia="Times New Roman" w:cs="Arial"/>
                <w:lang w:eastAsia="en-GB"/>
              </w:rPr>
            </w:pPr>
            <w:r w:rsidRPr="004164C3">
              <w:rPr>
                <w:rFonts w:eastAsia="Times New Roman" w:cs="Arial"/>
                <w:lang w:eastAsia="en-GB"/>
              </w:rPr>
              <w:t>All interests in, under or over approximately 13 square metres of land and electricity sub-station situated to the west of Pasteur Close and north of Agar House at Colindale Gardens, rear of Colindale Avenue, NW9 5HJ</w:t>
            </w:r>
          </w:p>
        </w:tc>
      </w:tr>
      <w:tr w:rsidR="00E011F3" w14:paraId="0299B147" w14:textId="77777777" w:rsidTr="00EE6A13">
        <w:tc>
          <w:tcPr>
            <w:tcW w:w="7716" w:type="dxa"/>
          </w:tcPr>
          <w:p w14:paraId="49EF7649" w14:textId="3C2EEB31" w:rsidR="00E011F3" w:rsidRPr="004F331F" w:rsidRDefault="004164C3" w:rsidP="004164C3">
            <w:pPr>
              <w:pStyle w:val="ListParagraph"/>
              <w:numPr>
                <w:ilvl w:val="0"/>
                <w:numId w:val="12"/>
              </w:numPr>
              <w:spacing w:line="360" w:lineRule="auto"/>
              <w:rPr>
                <w:rFonts w:eastAsia="Times New Roman" w:cs="Arial"/>
                <w:lang w:eastAsia="en-GB"/>
              </w:rPr>
            </w:pPr>
            <w:r w:rsidRPr="004164C3">
              <w:rPr>
                <w:rFonts w:eastAsia="Times New Roman" w:cs="Arial"/>
                <w:lang w:eastAsia="en-GB"/>
              </w:rPr>
              <w:t>All interests in, under or over approximately 2 square metres of land and garden known as Flat 1 and 2 Agar House, Colindale Avenue, London, NW9 5HJ</w:t>
            </w:r>
          </w:p>
        </w:tc>
      </w:tr>
    </w:tbl>
    <w:p w14:paraId="18022EC9" w14:textId="02489D26" w:rsidR="00690967" w:rsidRPr="00587377" w:rsidRDefault="00690967" w:rsidP="00EE6A13">
      <w:pPr>
        <w:spacing w:after="0" w:line="360" w:lineRule="auto"/>
        <w:ind w:left="720"/>
        <w:rPr>
          <w:rFonts w:eastAsia="Times New Roman" w:cs="Arial"/>
          <w:lang w:eastAsia="en-GB"/>
        </w:rPr>
      </w:pPr>
    </w:p>
    <w:p w14:paraId="3743F39A" w14:textId="53C65A4C" w:rsidR="0074336B" w:rsidRPr="00587377" w:rsidRDefault="0074336B" w:rsidP="0074336B">
      <w:pPr>
        <w:spacing w:after="0" w:line="360" w:lineRule="auto"/>
        <w:jc w:val="both"/>
        <w:rPr>
          <w:rFonts w:eastAsia="Times New Roman" w:cs="Arial"/>
          <w:lang w:eastAsia="en-GB"/>
        </w:rPr>
      </w:pPr>
      <w:r w:rsidRPr="00587377">
        <w:rPr>
          <w:rFonts w:eastAsia="Times New Roman" w:cs="Arial"/>
          <w:lang w:eastAsia="en-GB"/>
        </w:rPr>
        <w:t>The rights particularised in the Order and in the accompanying map, to be acquired,</w:t>
      </w:r>
      <w:r w:rsidR="00A26359" w:rsidRPr="00587377">
        <w:rPr>
          <w:rFonts w:eastAsia="Times New Roman" w:cs="Arial"/>
          <w:lang w:eastAsia="en-GB"/>
        </w:rPr>
        <w:t>(except those of the acquiring authority)</w:t>
      </w:r>
      <w:r w:rsidRPr="00587377">
        <w:rPr>
          <w:rFonts w:eastAsia="Times New Roman" w:cs="Arial"/>
          <w:lang w:eastAsia="en-GB"/>
        </w:rPr>
        <w:t xml:space="preserve"> include the following:  </w:t>
      </w:r>
    </w:p>
    <w:p w14:paraId="49689A14" w14:textId="77777777" w:rsidR="004164C3" w:rsidRDefault="004164C3" w:rsidP="0074336B">
      <w:pPr>
        <w:spacing w:after="0" w:line="360" w:lineRule="auto"/>
        <w:jc w:val="both"/>
        <w:rPr>
          <w:rFonts w:eastAsia="Times New Roman" w:cs="Arial"/>
          <w:lang w:eastAsia="en-GB"/>
        </w:rPr>
      </w:pPr>
    </w:p>
    <w:p w14:paraId="44E536E2" w14:textId="780CD0A9" w:rsidR="0074336B" w:rsidRPr="00587377" w:rsidRDefault="004164C3" w:rsidP="0074336B">
      <w:pPr>
        <w:spacing w:after="0" w:line="360" w:lineRule="auto"/>
        <w:jc w:val="both"/>
        <w:rPr>
          <w:rFonts w:eastAsia="Times New Roman" w:cs="Arial"/>
          <w:lang w:eastAsia="en-GB"/>
        </w:rPr>
      </w:pPr>
      <w:r>
        <w:rPr>
          <w:rFonts w:eastAsia="Times New Roman" w:cs="Arial"/>
          <w:lang w:eastAsia="en-GB"/>
        </w:rPr>
        <w:t>t</w:t>
      </w:r>
      <w:r w:rsidRPr="004164C3">
        <w:rPr>
          <w:rFonts w:eastAsia="Times New Roman" w:cs="Arial"/>
          <w:lang w:eastAsia="en-GB"/>
        </w:rPr>
        <w:t>he right for the acquiring authority and its lessees, licensees, successors in title, assigns and those authorised by any of these to swing the jib of a crane, loaded or unlo</w:t>
      </w:r>
      <w:r w:rsidR="00E8293D">
        <w:rPr>
          <w:rFonts w:eastAsia="Times New Roman" w:cs="Arial"/>
          <w:lang w:eastAsia="en-GB"/>
        </w:rPr>
        <w:t>aded, through the airspace over:</w:t>
      </w:r>
    </w:p>
    <w:p w14:paraId="046DF8A2" w14:textId="77777777" w:rsidR="0074336B" w:rsidRPr="0074336B" w:rsidRDefault="0074336B" w:rsidP="0074336B">
      <w:pPr>
        <w:spacing w:after="0" w:line="360" w:lineRule="auto"/>
        <w:jc w:val="both"/>
        <w:rPr>
          <w:rFonts w:eastAsia="Times New Roman" w:cs="Arial"/>
          <w:lang w:eastAsia="en-GB"/>
        </w:rPr>
      </w:pPr>
    </w:p>
    <w:tbl>
      <w:tblPr>
        <w:tblStyle w:val="TableGrid"/>
        <w:tblW w:w="758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5"/>
      </w:tblGrid>
      <w:tr w:rsidR="00E011F3" w14:paraId="6363B6CF" w14:textId="77777777" w:rsidTr="00E011F3">
        <w:tc>
          <w:tcPr>
            <w:tcW w:w="7585" w:type="dxa"/>
          </w:tcPr>
          <w:p w14:paraId="2B8D362A" w14:textId="12C663F3" w:rsidR="00E011F3" w:rsidRPr="00E553C3" w:rsidRDefault="000112A0" w:rsidP="000112A0">
            <w:pPr>
              <w:pStyle w:val="ListParagraph"/>
              <w:numPr>
                <w:ilvl w:val="0"/>
                <w:numId w:val="12"/>
              </w:numPr>
              <w:spacing w:line="360" w:lineRule="auto"/>
              <w:jc w:val="both"/>
              <w:rPr>
                <w:rFonts w:eastAsia="Times New Roman" w:cs="Arial"/>
                <w:lang w:eastAsia="en-GB"/>
              </w:rPr>
            </w:pPr>
            <w:r w:rsidRPr="000112A0">
              <w:rPr>
                <w:rFonts w:eastAsia="Times New Roman" w:cs="Arial"/>
                <w:lang w:eastAsia="en-GB"/>
              </w:rPr>
              <w:t>approximately 469 square metres of land, building and car parking spaces</w:t>
            </w:r>
          </w:p>
        </w:tc>
      </w:tr>
      <w:tr w:rsidR="00E011F3" w14:paraId="144331D6" w14:textId="77777777" w:rsidTr="00E011F3">
        <w:tc>
          <w:tcPr>
            <w:tcW w:w="7585" w:type="dxa"/>
          </w:tcPr>
          <w:p w14:paraId="6DBD5A6E" w14:textId="4898AE25" w:rsidR="00E011F3" w:rsidRPr="00E553C3" w:rsidRDefault="000112A0" w:rsidP="000112A0">
            <w:pPr>
              <w:pStyle w:val="ListParagraph"/>
              <w:numPr>
                <w:ilvl w:val="0"/>
                <w:numId w:val="12"/>
              </w:numPr>
              <w:spacing w:line="360" w:lineRule="auto"/>
              <w:jc w:val="both"/>
              <w:rPr>
                <w:rFonts w:eastAsia="Times New Roman" w:cs="Arial"/>
                <w:lang w:eastAsia="en-GB"/>
              </w:rPr>
            </w:pPr>
            <w:r w:rsidRPr="000112A0">
              <w:rPr>
                <w:rFonts w:eastAsia="Times New Roman" w:cs="Arial"/>
                <w:lang w:eastAsia="en-GB"/>
              </w:rPr>
              <w:t>approximately 34 square metres of land situated west of 1-12 Pasteur Close</w:t>
            </w:r>
          </w:p>
        </w:tc>
      </w:tr>
      <w:tr w:rsidR="00E011F3" w14:paraId="5DC74C81" w14:textId="77777777" w:rsidTr="00E011F3">
        <w:tc>
          <w:tcPr>
            <w:tcW w:w="7585" w:type="dxa"/>
          </w:tcPr>
          <w:p w14:paraId="3679127E" w14:textId="2BAB07A8" w:rsidR="00E011F3" w:rsidRPr="00E553C3" w:rsidRDefault="000112A0" w:rsidP="000112A0">
            <w:pPr>
              <w:pStyle w:val="ListParagraph"/>
              <w:numPr>
                <w:ilvl w:val="0"/>
                <w:numId w:val="12"/>
              </w:numPr>
              <w:spacing w:line="360" w:lineRule="auto"/>
              <w:jc w:val="both"/>
              <w:rPr>
                <w:rFonts w:eastAsia="Times New Roman" w:cs="Arial"/>
                <w:lang w:eastAsia="en-GB"/>
              </w:rPr>
            </w:pPr>
            <w:r w:rsidRPr="000112A0">
              <w:rPr>
                <w:rFonts w:eastAsia="Times New Roman" w:cs="Arial"/>
                <w:lang w:eastAsia="en-GB"/>
              </w:rPr>
              <w:t>4 square metres of land and garden known as 2 Petri House, Colindale Avenue, Barnet</w:t>
            </w:r>
          </w:p>
        </w:tc>
      </w:tr>
      <w:tr w:rsidR="00E011F3" w14:paraId="45481252" w14:textId="77777777" w:rsidTr="00E011F3">
        <w:tc>
          <w:tcPr>
            <w:tcW w:w="7585" w:type="dxa"/>
          </w:tcPr>
          <w:p w14:paraId="38202C16" w14:textId="6130886C" w:rsidR="00E011F3" w:rsidRPr="00E553C3" w:rsidRDefault="00C537DC" w:rsidP="00C537DC">
            <w:pPr>
              <w:pStyle w:val="ListParagraph"/>
              <w:numPr>
                <w:ilvl w:val="0"/>
                <w:numId w:val="12"/>
              </w:numPr>
              <w:spacing w:line="360" w:lineRule="auto"/>
              <w:jc w:val="both"/>
              <w:rPr>
                <w:rFonts w:eastAsia="Times New Roman" w:cs="Arial"/>
                <w:lang w:eastAsia="en-GB"/>
              </w:rPr>
            </w:pPr>
            <w:r w:rsidRPr="00C537DC">
              <w:rPr>
                <w:rFonts w:eastAsia="Times New Roman" w:cs="Arial"/>
                <w:lang w:eastAsia="en-GB"/>
              </w:rPr>
              <w:t>approximately 6 square metres of house and garden known as 3 Petri House, Colindale Avenue, Barnet</w:t>
            </w:r>
          </w:p>
        </w:tc>
      </w:tr>
      <w:tr w:rsidR="00E011F3" w14:paraId="3EDE72F0" w14:textId="77777777" w:rsidTr="00E011F3">
        <w:tc>
          <w:tcPr>
            <w:tcW w:w="7585" w:type="dxa"/>
          </w:tcPr>
          <w:p w14:paraId="386CBEBF" w14:textId="244A6F84" w:rsidR="00E011F3" w:rsidRPr="00E553C3" w:rsidRDefault="00C537DC" w:rsidP="00C537DC">
            <w:pPr>
              <w:pStyle w:val="ListParagraph"/>
              <w:numPr>
                <w:ilvl w:val="0"/>
                <w:numId w:val="12"/>
              </w:numPr>
              <w:spacing w:line="360" w:lineRule="auto"/>
              <w:jc w:val="both"/>
              <w:rPr>
                <w:rFonts w:eastAsia="Times New Roman" w:cs="Arial"/>
                <w:lang w:eastAsia="en-GB"/>
              </w:rPr>
            </w:pPr>
            <w:r w:rsidRPr="00C537DC">
              <w:rPr>
                <w:rFonts w:eastAsia="Times New Roman" w:cs="Arial"/>
                <w:lang w:eastAsia="en-GB"/>
              </w:rPr>
              <w:t>approximately 62 square metres of building known as 1 Petri House, Colindale Avenue</w:t>
            </w:r>
          </w:p>
        </w:tc>
      </w:tr>
      <w:tr w:rsidR="00E011F3" w14:paraId="5BD5A68E" w14:textId="77777777" w:rsidTr="00E011F3">
        <w:tc>
          <w:tcPr>
            <w:tcW w:w="7585" w:type="dxa"/>
          </w:tcPr>
          <w:p w14:paraId="5F9E6D58" w14:textId="61603863" w:rsidR="00E011F3" w:rsidRPr="00E553C3" w:rsidRDefault="00C537DC" w:rsidP="00C537DC">
            <w:pPr>
              <w:pStyle w:val="ListParagraph"/>
              <w:numPr>
                <w:ilvl w:val="0"/>
                <w:numId w:val="12"/>
              </w:numPr>
              <w:spacing w:line="360" w:lineRule="auto"/>
              <w:jc w:val="both"/>
              <w:rPr>
                <w:rFonts w:eastAsia="Times New Roman" w:cs="Arial"/>
                <w:lang w:eastAsia="en-GB"/>
              </w:rPr>
            </w:pPr>
            <w:r w:rsidRPr="00C537DC">
              <w:rPr>
                <w:rFonts w:eastAsia="Times New Roman" w:cs="Arial"/>
                <w:lang w:eastAsia="en-GB"/>
              </w:rPr>
              <w:t>approximately 105 square metres of land and garden known as 1 Petri House, Colindale Avenue</w:t>
            </w:r>
          </w:p>
        </w:tc>
      </w:tr>
      <w:tr w:rsidR="00E011F3" w14:paraId="120FCBC9" w14:textId="77777777" w:rsidTr="00E011F3">
        <w:tc>
          <w:tcPr>
            <w:tcW w:w="7585" w:type="dxa"/>
          </w:tcPr>
          <w:p w14:paraId="36F5E2EF" w14:textId="26A9DDB7" w:rsidR="00E011F3" w:rsidRPr="00E553C3" w:rsidRDefault="00F4368A" w:rsidP="00F4368A">
            <w:pPr>
              <w:pStyle w:val="ListParagraph"/>
              <w:numPr>
                <w:ilvl w:val="0"/>
                <w:numId w:val="12"/>
              </w:numPr>
              <w:spacing w:line="360" w:lineRule="auto"/>
              <w:jc w:val="both"/>
              <w:rPr>
                <w:rFonts w:eastAsia="Times New Roman" w:cs="Arial"/>
                <w:lang w:eastAsia="en-GB"/>
              </w:rPr>
            </w:pPr>
            <w:r w:rsidRPr="00F4368A">
              <w:rPr>
                <w:rFonts w:eastAsia="Times New Roman" w:cs="Arial"/>
                <w:lang w:eastAsia="en-GB"/>
              </w:rPr>
              <w:t>533 square metres of highway known as Pasteur Close and Colindale Avenue</w:t>
            </w:r>
          </w:p>
        </w:tc>
      </w:tr>
      <w:tr w:rsidR="00E011F3" w14:paraId="4B90A62F" w14:textId="77777777" w:rsidTr="00E011F3">
        <w:tc>
          <w:tcPr>
            <w:tcW w:w="7585" w:type="dxa"/>
          </w:tcPr>
          <w:p w14:paraId="215EC3F7" w14:textId="0965CC9C" w:rsidR="00E011F3" w:rsidRPr="00E553C3" w:rsidRDefault="007E7BFD" w:rsidP="007E7BFD">
            <w:pPr>
              <w:pStyle w:val="ListParagraph"/>
              <w:numPr>
                <w:ilvl w:val="0"/>
                <w:numId w:val="12"/>
              </w:numPr>
              <w:spacing w:line="360" w:lineRule="auto"/>
              <w:jc w:val="both"/>
              <w:rPr>
                <w:rFonts w:eastAsia="Times New Roman" w:cs="Arial"/>
                <w:lang w:eastAsia="en-GB"/>
              </w:rPr>
            </w:pPr>
            <w:r w:rsidRPr="007E7BFD">
              <w:rPr>
                <w:rFonts w:eastAsia="Times New Roman" w:cs="Arial"/>
                <w:lang w:eastAsia="en-GB"/>
              </w:rPr>
              <w:t>approximately 75 square metres of land on the south side of Colindale Avenue</w:t>
            </w:r>
          </w:p>
        </w:tc>
      </w:tr>
      <w:tr w:rsidR="00E011F3" w14:paraId="5A8362F7" w14:textId="77777777" w:rsidTr="00E011F3">
        <w:tc>
          <w:tcPr>
            <w:tcW w:w="7585" w:type="dxa"/>
          </w:tcPr>
          <w:p w14:paraId="3BFFAC57" w14:textId="55848BBD" w:rsidR="00E011F3" w:rsidRPr="00E553C3" w:rsidRDefault="007E7BFD" w:rsidP="007E7BFD">
            <w:pPr>
              <w:pStyle w:val="ListParagraph"/>
              <w:numPr>
                <w:ilvl w:val="0"/>
                <w:numId w:val="12"/>
              </w:numPr>
              <w:spacing w:line="360" w:lineRule="auto"/>
              <w:jc w:val="both"/>
              <w:rPr>
                <w:rFonts w:eastAsia="Times New Roman" w:cs="Arial"/>
                <w:lang w:eastAsia="en-GB"/>
              </w:rPr>
            </w:pPr>
            <w:r w:rsidRPr="007E7BFD">
              <w:rPr>
                <w:rFonts w:eastAsia="Times New Roman" w:cs="Arial"/>
                <w:lang w:eastAsia="en-GB"/>
              </w:rPr>
              <w:t>140 square metres of land on the south side of Colindale avenue</w:t>
            </w:r>
          </w:p>
        </w:tc>
      </w:tr>
      <w:tr w:rsidR="00E011F3" w14:paraId="60A968FC" w14:textId="77777777" w:rsidTr="00E011F3">
        <w:tc>
          <w:tcPr>
            <w:tcW w:w="7585" w:type="dxa"/>
          </w:tcPr>
          <w:p w14:paraId="5DC81A64" w14:textId="45222B0E" w:rsidR="00E011F3" w:rsidRPr="000D33C2" w:rsidRDefault="007E7BFD" w:rsidP="007E7BFD">
            <w:pPr>
              <w:pStyle w:val="ListParagraph"/>
              <w:numPr>
                <w:ilvl w:val="0"/>
                <w:numId w:val="12"/>
              </w:numPr>
              <w:spacing w:line="360" w:lineRule="auto"/>
              <w:jc w:val="both"/>
              <w:rPr>
                <w:rFonts w:eastAsia="Times New Roman" w:cs="Arial"/>
                <w:lang w:eastAsia="en-GB"/>
              </w:rPr>
            </w:pPr>
            <w:r w:rsidRPr="007E7BFD">
              <w:rPr>
                <w:rFonts w:eastAsia="Times New Roman" w:cs="Arial"/>
                <w:lang w:eastAsia="en-GB"/>
              </w:rPr>
              <w:t>approximately 489 square metres of highway known as Colindale Av</w:t>
            </w:r>
            <w:r>
              <w:rPr>
                <w:rFonts w:eastAsia="Times New Roman" w:cs="Arial"/>
                <w:lang w:eastAsia="en-GB"/>
              </w:rPr>
              <w:t xml:space="preserve">enue, pavement and bus shelter </w:t>
            </w:r>
          </w:p>
        </w:tc>
      </w:tr>
      <w:tr w:rsidR="00E011F3" w14:paraId="3F555226" w14:textId="77777777" w:rsidTr="00E011F3">
        <w:tc>
          <w:tcPr>
            <w:tcW w:w="7585" w:type="dxa"/>
          </w:tcPr>
          <w:p w14:paraId="6FC3A31C" w14:textId="7708FD24" w:rsidR="00E011F3" w:rsidRPr="00E553C3" w:rsidRDefault="007E7BFD" w:rsidP="007E7BFD">
            <w:pPr>
              <w:pStyle w:val="ListParagraph"/>
              <w:numPr>
                <w:ilvl w:val="0"/>
                <w:numId w:val="12"/>
              </w:numPr>
              <w:spacing w:line="360" w:lineRule="auto"/>
              <w:jc w:val="both"/>
              <w:rPr>
                <w:rFonts w:eastAsia="Times New Roman" w:cs="Arial"/>
                <w:lang w:eastAsia="en-GB"/>
              </w:rPr>
            </w:pPr>
            <w:r w:rsidRPr="007E7BFD">
              <w:rPr>
                <w:rFonts w:eastAsia="Times New Roman" w:cs="Arial"/>
                <w:lang w:eastAsia="en-GB"/>
              </w:rPr>
              <w:t>approximately 89 square metres of land known as Colindale Park</w:t>
            </w:r>
          </w:p>
        </w:tc>
      </w:tr>
      <w:tr w:rsidR="00E011F3" w14:paraId="36BEE7EB" w14:textId="77777777" w:rsidTr="00E011F3">
        <w:tc>
          <w:tcPr>
            <w:tcW w:w="7585" w:type="dxa"/>
          </w:tcPr>
          <w:p w14:paraId="7467373C" w14:textId="2541F23B" w:rsidR="00E011F3" w:rsidRPr="00E553C3" w:rsidRDefault="007E7BFD" w:rsidP="007E7BFD">
            <w:pPr>
              <w:pStyle w:val="ListParagraph"/>
              <w:numPr>
                <w:ilvl w:val="0"/>
                <w:numId w:val="12"/>
              </w:numPr>
              <w:spacing w:line="360" w:lineRule="auto"/>
              <w:jc w:val="both"/>
              <w:rPr>
                <w:rFonts w:eastAsia="Times New Roman" w:cs="Arial"/>
                <w:lang w:eastAsia="en-GB"/>
              </w:rPr>
            </w:pPr>
            <w:r w:rsidRPr="007E7BFD">
              <w:rPr>
                <w:rFonts w:eastAsia="Times New Roman" w:cs="Arial"/>
                <w:lang w:eastAsia="en-GB"/>
              </w:rPr>
              <w:t>311 square metres of land lying to the south of Colindale Avenue</w:t>
            </w:r>
          </w:p>
        </w:tc>
      </w:tr>
      <w:tr w:rsidR="00E011F3" w14:paraId="1D3A6519" w14:textId="77777777" w:rsidTr="00E011F3">
        <w:tc>
          <w:tcPr>
            <w:tcW w:w="7585" w:type="dxa"/>
          </w:tcPr>
          <w:p w14:paraId="6D34CA1B" w14:textId="77E80F44" w:rsidR="00E011F3" w:rsidRPr="00E553C3" w:rsidRDefault="0016256B" w:rsidP="0016256B">
            <w:pPr>
              <w:pStyle w:val="ListParagraph"/>
              <w:numPr>
                <w:ilvl w:val="0"/>
                <w:numId w:val="12"/>
              </w:numPr>
              <w:spacing w:line="360" w:lineRule="auto"/>
              <w:jc w:val="both"/>
              <w:rPr>
                <w:rFonts w:eastAsia="Times New Roman" w:cs="Arial"/>
                <w:lang w:eastAsia="en-GB"/>
              </w:rPr>
            </w:pPr>
            <w:r w:rsidRPr="0016256B">
              <w:rPr>
                <w:rFonts w:eastAsia="Times New Roman" w:cs="Arial"/>
                <w:lang w:eastAsia="en-GB"/>
              </w:rPr>
              <w:t>816 square metres of highway known as Colindale Avenue, railway station and platform beneath known as Colindale Station</w:t>
            </w:r>
          </w:p>
        </w:tc>
      </w:tr>
      <w:tr w:rsidR="00E011F3" w14:paraId="2CFAA07C" w14:textId="77777777" w:rsidTr="00E011F3">
        <w:tc>
          <w:tcPr>
            <w:tcW w:w="7585" w:type="dxa"/>
          </w:tcPr>
          <w:p w14:paraId="02F931DD" w14:textId="5FDC94E7" w:rsidR="00E011F3" w:rsidRPr="00E553C3" w:rsidRDefault="0016256B" w:rsidP="0016256B">
            <w:pPr>
              <w:pStyle w:val="ListParagraph"/>
              <w:numPr>
                <w:ilvl w:val="0"/>
                <w:numId w:val="12"/>
              </w:numPr>
              <w:spacing w:line="360" w:lineRule="auto"/>
              <w:jc w:val="both"/>
              <w:rPr>
                <w:rFonts w:eastAsia="Times New Roman" w:cs="Arial"/>
                <w:lang w:eastAsia="en-GB"/>
              </w:rPr>
            </w:pPr>
            <w:r w:rsidRPr="0016256B">
              <w:rPr>
                <w:rFonts w:eastAsia="Times New Roman" w:cs="Arial"/>
                <w:lang w:eastAsia="en-GB"/>
              </w:rPr>
              <w:t>approximately 45 square metres of land on the north of Colindale Avenue</w:t>
            </w:r>
          </w:p>
        </w:tc>
      </w:tr>
      <w:tr w:rsidR="00E011F3" w14:paraId="4DF0195E" w14:textId="77777777" w:rsidTr="00E011F3">
        <w:tc>
          <w:tcPr>
            <w:tcW w:w="7585" w:type="dxa"/>
          </w:tcPr>
          <w:p w14:paraId="16A4DE47" w14:textId="7CC0CF9A" w:rsidR="00E011F3" w:rsidRPr="000D33C2" w:rsidRDefault="0016256B" w:rsidP="0016256B">
            <w:pPr>
              <w:pStyle w:val="ListParagraph"/>
              <w:numPr>
                <w:ilvl w:val="0"/>
                <w:numId w:val="12"/>
              </w:numPr>
              <w:spacing w:line="360" w:lineRule="auto"/>
              <w:jc w:val="both"/>
              <w:rPr>
                <w:rFonts w:eastAsia="Times New Roman" w:cs="Arial"/>
                <w:lang w:eastAsia="en-GB"/>
              </w:rPr>
            </w:pPr>
            <w:r w:rsidRPr="0016256B">
              <w:rPr>
                <w:rFonts w:eastAsia="Times New Roman" w:cs="Arial"/>
                <w:lang w:eastAsia="en-GB"/>
              </w:rPr>
              <w:t>10 square metres of land to the north of Colindale Avenue</w:t>
            </w:r>
          </w:p>
        </w:tc>
      </w:tr>
      <w:tr w:rsidR="00E011F3" w14:paraId="0664CC09" w14:textId="77777777" w:rsidTr="00E011F3">
        <w:tc>
          <w:tcPr>
            <w:tcW w:w="7585" w:type="dxa"/>
          </w:tcPr>
          <w:p w14:paraId="23C98E4C" w14:textId="13D8A0F1" w:rsidR="00E011F3" w:rsidRPr="00E553C3" w:rsidRDefault="0016256B" w:rsidP="0016256B">
            <w:pPr>
              <w:pStyle w:val="ListParagraph"/>
              <w:numPr>
                <w:ilvl w:val="0"/>
                <w:numId w:val="12"/>
              </w:numPr>
              <w:spacing w:line="360" w:lineRule="auto"/>
              <w:jc w:val="both"/>
              <w:rPr>
                <w:rFonts w:eastAsia="Times New Roman" w:cs="Arial"/>
                <w:lang w:eastAsia="en-GB"/>
              </w:rPr>
            </w:pPr>
            <w:r w:rsidRPr="0016256B">
              <w:rPr>
                <w:rFonts w:eastAsia="Times New Roman" w:cs="Arial"/>
                <w:lang w:eastAsia="en-GB"/>
              </w:rPr>
              <w:t>approximately 52 square metres of land on the north side of Colindale Avenue</w:t>
            </w:r>
          </w:p>
        </w:tc>
      </w:tr>
      <w:tr w:rsidR="00E011F3" w14:paraId="0D8723ED" w14:textId="77777777" w:rsidTr="00E011F3">
        <w:tc>
          <w:tcPr>
            <w:tcW w:w="7585" w:type="dxa"/>
          </w:tcPr>
          <w:p w14:paraId="41C71541" w14:textId="70AF6205" w:rsidR="00E011F3" w:rsidRPr="00E553C3" w:rsidRDefault="0016256B" w:rsidP="0016256B">
            <w:pPr>
              <w:pStyle w:val="ListParagraph"/>
              <w:numPr>
                <w:ilvl w:val="0"/>
                <w:numId w:val="12"/>
              </w:numPr>
              <w:spacing w:line="360" w:lineRule="auto"/>
              <w:jc w:val="both"/>
              <w:rPr>
                <w:rFonts w:eastAsia="Times New Roman" w:cs="Arial"/>
                <w:lang w:eastAsia="en-GB"/>
              </w:rPr>
            </w:pPr>
            <w:r w:rsidRPr="0016256B">
              <w:rPr>
                <w:rFonts w:eastAsia="Times New Roman" w:cs="Arial"/>
                <w:lang w:eastAsia="en-GB"/>
              </w:rPr>
              <w:t>55 square metres of land situated north of Colindale Station</w:t>
            </w:r>
          </w:p>
        </w:tc>
      </w:tr>
      <w:tr w:rsidR="00E011F3" w14:paraId="60C7DB90" w14:textId="77777777" w:rsidTr="00E011F3">
        <w:tc>
          <w:tcPr>
            <w:tcW w:w="7585" w:type="dxa"/>
          </w:tcPr>
          <w:p w14:paraId="4276C09B" w14:textId="0224D63D" w:rsidR="00E011F3" w:rsidRPr="00E553C3" w:rsidRDefault="001B45D9" w:rsidP="001B45D9">
            <w:pPr>
              <w:pStyle w:val="ListParagraph"/>
              <w:numPr>
                <w:ilvl w:val="0"/>
                <w:numId w:val="12"/>
              </w:numPr>
              <w:spacing w:line="360" w:lineRule="auto"/>
              <w:jc w:val="both"/>
              <w:rPr>
                <w:rFonts w:eastAsia="Times New Roman" w:cs="Arial"/>
                <w:lang w:eastAsia="en-GB"/>
              </w:rPr>
            </w:pPr>
            <w:r w:rsidRPr="001B45D9">
              <w:rPr>
                <w:rFonts w:eastAsia="Times New Roman" w:cs="Arial"/>
                <w:lang w:eastAsia="en-GB"/>
              </w:rPr>
              <w:t>approximately 364 squa</w:t>
            </w:r>
            <w:r>
              <w:rPr>
                <w:rFonts w:eastAsia="Times New Roman" w:cs="Arial"/>
                <w:lang w:eastAsia="en-GB"/>
              </w:rPr>
              <w:t>re metres of land adjoining 155</w:t>
            </w:r>
            <w:r w:rsidRPr="001B45D9">
              <w:rPr>
                <w:rFonts w:eastAsia="Times New Roman" w:cs="Arial"/>
                <w:lang w:eastAsia="en-GB"/>
              </w:rPr>
              <w:t xml:space="preserve"> Colindale Avenue</w:t>
            </w:r>
          </w:p>
        </w:tc>
      </w:tr>
      <w:tr w:rsidR="00E011F3" w14:paraId="0F0DCAAD" w14:textId="77777777" w:rsidTr="00E011F3">
        <w:tc>
          <w:tcPr>
            <w:tcW w:w="7585" w:type="dxa"/>
          </w:tcPr>
          <w:p w14:paraId="34CBF1F3" w14:textId="5B3CEB1D" w:rsidR="00E011F3" w:rsidRPr="00E553C3" w:rsidRDefault="001B45D9" w:rsidP="001B45D9">
            <w:pPr>
              <w:pStyle w:val="ListParagraph"/>
              <w:numPr>
                <w:ilvl w:val="0"/>
                <w:numId w:val="12"/>
              </w:numPr>
              <w:spacing w:line="360" w:lineRule="auto"/>
              <w:jc w:val="both"/>
              <w:rPr>
                <w:rFonts w:eastAsia="Times New Roman" w:cs="Arial"/>
                <w:lang w:eastAsia="en-GB"/>
              </w:rPr>
            </w:pPr>
            <w:r w:rsidRPr="001B45D9">
              <w:rPr>
                <w:rFonts w:eastAsia="Times New Roman" w:cs="Arial"/>
                <w:lang w:eastAsia="en-GB"/>
              </w:rPr>
              <w:t>approxim</w:t>
            </w:r>
            <w:r w:rsidR="00164043">
              <w:rPr>
                <w:rFonts w:eastAsia="Times New Roman" w:cs="Arial"/>
                <w:lang w:eastAsia="en-GB"/>
              </w:rPr>
              <w:t>ately 114 square metres of land</w:t>
            </w:r>
            <w:r w:rsidRPr="001B45D9">
              <w:rPr>
                <w:rFonts w:eastAsia="Times New Roman" w:cs="Arial"/>
                <w:lang w:eastAsia="en-GB"/>
              </w:rPr>
              <w:t xml:space="preserve"> west of Colindale Avenue</w:t>
            </w:r>
          </w:p>
        </w:tc>
      </w:tr>
      <w:tr w:rsidR="00E011F3" w14:paraId="34388887" w14:textId="77777777" w:rsidTr="00E011F3">
        <w:tc>
          <w:tcPr>
            <w:tcW w:w="7585" w:type="dxa"/>
          </w:tcPr>
          <w:p w14:paraId="5E852064" w14:textId="5DD9395F" w:rsidR="00E011F3" w:rsidRPr="00E553C3" w:rsidRDefault="00164043" w:rsidP="00164043">
            <w:pPr>
              <w:pStyle w:val="ListParagraph"/>
              <w:numPr>
                <w:ilvl w:val="0"/>
                <w:numId w:val="12"/>
              </w:numPr>
              <w:spacing w:line="360" w:lineRule="auto"/>
              <w:jc w:val="both"/>
              <w:rPr>
                <w:rFonts w:eastAsia="Times New Roman" w:cs="Arial"/>
                <w:lang w:eastAsia="en-GB"/>
              </w:rPr>
            </w:pPr>
            <w:r w:rsidRPr="00164043">
              <w:rPr>
                <w:rFonts w:eastAsia="Times New Roman" w:cs="Arial"/>
                <w:lang w:eastAsia="en-GB"/>
              </w:rPr>
              <w:t>1 square metre of land west of Colindale Station</w:t>
            </w:r>
          </w:p>
        </w:tc>
      </w:tr>
      <w:tr w:rsidR="00E011F3" w14:paraId="41AFCC2F" w14:textId="77777777" w:rsidTr="00E011F3">
        <w:tc>
          <w:tcPr>
            <w:tcW w:w="7585" w:type="dxa"/>
          </w:tcPr>
          <w:p w14:paraId="745D7DCB" w14:textId="0594DD6B" w:rsidR="00E011F3" w:rsidRPr="00E553C3" w:rsidRDefault="00164043" w:rsidP="00164043">
            <w:pPr>
              <w:pStyle w:val="ListParagraph"/>
              <w:numPr>
                <w:ilvl w:val="0"/>
                <w:numId w:val="12"/>
              </w:numPr>
              <w:spacing w:line="360" w:lineRule="auto"/>
              <w:jc w:val="both"/>
              <w:rPr>
                <w:rFonts w:eastAsia="Times New Roman" w:cs="Arial"/>
                <w:lang w:eastAsia="en-GB"/>
              </w:rPr>
            </w:pPr>
            <w:r w:rsidRPr="00164043">
              <w:rPr>
                <w:rFonts w:eastAsia="Times New Roman" w:cs="Arial"/>
                <w:lang w:eastAsia="en-GB"/>
              </w:rPr>
              <w:t>approximately 139 square metres of building known as 155 and 157, Colindale A</w:t>
            </w:r>
          </w:p>
        </w:tc>
      </w:tr>
      <w:tr w:rsidR="00E011F3" w14:paraId="7A3A1BCC" w14:textId="77777777" w:rsidTr="00E011F3">
        <w:tc>
          <w:tcPr>
            <w:tcW w:w="7585" w:type="dxa"/>
          </w:tcPr>
          <w:p w14:paraId="48E45267" w14:textId="2F67E574" w:rsidR="00E011F3" w:rsidRPr="00E553C3" w:rsidRDefault="008A0702" w:rsidP="008A0702">
            <w:pPr>
              <w:pStyle w:val="ListParagraph"/>
              <w:numPr>
                <w:ilvl w:val="0"/>
                <w:numId w:val="12"/>
              </w:numPr>
              <w:spacing w:line="360" w:lineRule="auto"/>
              <w:jc w:val="both"/>
              <w:rPr>
                <w:rFonts w:eastAsia="Times New Roman" w:cs="Arial"/>
                <w:lang w:eastAsia="en-GB"/>
              </w:rPr>
            </w:pPr>
            <w:r w:rsidRPr="008A0702">
              <w:rPr>
                <w:rFonts w:eastAsia="Times New Roman" w:cs="Arial"/>
                <w:lang w:eastAsia="en-GB"/>
              </w:rPr>
              <w:t>approximately 4 square metres of land and west of Colindale station</w:t>
            </w:r>
          </w:p>
        </w:tc>
      </w:tr>
      <w:tr w:rsidR="00E011F3" w14:paraId="55A24866" w14:textId="77777777" w:rsidTr="00E011F3">
        <w:tc>
          <w:tcPr>
            <w:tcW w:w="7585" w:type="dxa"/>
          </w:tcPr>
          <w:p w14:paraId="5ED612F6" w14:textId="1C8C8FBB" w:rsidR="00E011F3" w:rsidRPr="00E553C3" w:rsidRDefault="0094489A" w:rsidP="0094489A">
            <w:pPr>
              <w:pStyle w:val="ListParagraph"/>
              <w:numPr>
                <w:ilvl w:val="0"/>
                <w:numId w:val="12"/>
              </w:numPr>
              <w:spacing w:line="360" w:lineRule="auto"/>
              <w:jc w:val="both"/>
              <w:rPr>
                <w:rFonts w:eastAsia="Times New Roman" w:cs="Arial"/>
                <w:lang w:eastAsia="en-GB"/>
              </w:rPr>
            </w:pPr>
            <w:r w:rsidRPr="0094489A">
              <w:rPr>
                <w:rFonts w:eastAsia="Times New Roman" w:cs="Arial"/>
                <w:lang w:eastAsia="en-GB"/>
              </w:rPr>
              <w:lastRenderedPageBreak/>
              <w:t>105 square metres of land and premises</w:t>
            </w:r>
          </w:p>
        </w:tc>
      </w:tr>
    </w:tbl>
    <w:p w14:paraId="5BE8DCBF" w14:textId="77777777" w:rsidR="0074336B" w:rsidRDefault="0074336B" w:rsidP="0074336B">
      <w:pPr>
        <w:spacing w:after="0" w:line="360" w:lineRule="auto"/>
        <w:jc w:val="both"/>
        <w:rPr>
          <w:rFonts w:eastAsia="Times New Roman" w:cs="Arial"/>
          <w:lang w:eastAsia="en-GB"/>
        </w:rPr>
      </w:pPr>
    </w:p>
    <w:p w14:paraId="350994B3" w14:textId="77777777" w:rsidR="000D33C2" w:rsidRDefault="000D33C2" w:rsidP="00E2614E"/>
    <w:p w14:paraId="11DA1D50" w14:textId="59E6261C" w:rsidR="00E2614E" w:rsidRPr="0074336B" w:rsidRDefault="00E2614E" w:rsidP="00E2614E">
      <w:r w:rsidRPr="0074336B">
        <w:t xml:space="preserve">Dated: </w:t>
      </w:r>
      <w:r w:rsidR="00011962">
        <w:t>12</w:t>
      </w:r>
      <w:r w:rsidR="00011962" w:rsidRPr="00011962">
        <w:rPr>
          <w:vertAlign w:val="superscript"/>
        </w:rPr>
        <w:t>th</w:t>
      </w:r>
      <w:r w:rsidR="00011962">
        <w:t xml:space="preserve"> </w:t>
      </w:r>
      <w:bookmarkStart w:id="0" w:name="_GoBack"/>
      <w:bookmarkEnd w:id="0"/>
      <w:r w:rsidR="0094489A">
        <w:t>March 2020</w:t>
      </w:r>
    </w:p>
    <w:p w14:paraId="77A33890" w14:textId="77777777" w:rsidR="00E2614E" w:rsidRPr="0074336B" w:rsidRDefault="00E2614E" w:rsidP="00E2614E"/>
    <w:p w14:paraId="4BBDD67C" w14:textId="5B6BF6D4" w:rsidR="00E2614E" w:rsidRDefault="00E2614E" w:rsidP="00E2614E">
      <w:r w:rsidRPr="0074336B">
        <w:t>Signed:</w:t>
      </w:r>
      <w:r w:rsidRPr="0074336B">
        <w:tab/>
      </w:r>
      <w:r w:rsidR="009137BD">
        <w:rPr>
          <w:noProof/>
          <w:lang w:eastAsia="en-GB"/>
        </w:rPr>
        <w:drawing>
          <wp:inline distT="0" distB="0" distL="0" distR="0" wp14:anchorId="7CB5E2DB" wp14:editId="4626D952">
            <wp:extent cx="1042670" cy="4387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670" cy="438785"/>
                    </a:xfrm>
                    <a:prstGeom prst="rect">
                      <a:avLst/>
                    </a:prstGeom>
                    <a:noFill/>
                  </pic:spPr>
                </pic:pic>
              </a:graphicData>
            </a:graphic>
          </wp:inline>
        </w:drawing>
      </w:r>
    </w:p>
    <w:p w14:paraId="4CDA3BB9" w14:textId="062A940C" w:rsidR="00E2614E" w:rsidRPr="00437ED4" w:rsidRDefault="007C77D3" w:rsidP="00E2614E">
      <w:pPr>
        <w:rPr>
          <w:b/>
        </w:rPr>
      </w:pPr>
      <w:r w:rsidRPr="00437ED4">
        <w:rPr>
          <w:b/>
        </w:rPr>
        <w:t>Cath Shaw</w:t>
      </w:r>
    </w:p>
    <w:p w14:paraId="7BDB110E" w14:textId="342483E8" w:rsidR="000C5847" w:rsidRPr="00437ED4" w:rsidRDefault="000C5847" w:rsidP="00E2614E">
      <w:pPr>
        <w:rPr>
          <w:b/>
        </w:rPr>
      </w:pPr>
      <w:r w:rsidRPr="00437ED4">
        <w:rPr>
          <w:b/>
        </w:rPr>
        <w:t>Deputy Chief Executive</w:t>
      </w:r>
    </w:p>
    <w:p w14:paraId="6B31F887" w14:textId="1A117721" w:rsidR="00E2614E" w:rsidRPr="00437ED4" w:rsidRDefault="00E2614E" w:rsidP="00E2614E">
      <w:pPr>
        <w:rPr>
          <w:b/>
        </w:rPr>
      </w:pPr>
      <w:r w:rsidRPr="00437ED4">
        <w:rPr>
          <w:b/>
        </w:rPr>
        <w:t>on behalf of London Borough of Barnet</w:t>
      </w:r>
    </w:p>
    <w:p w14:paraId="47E49180" w14:textId="77777777" w:rsidR="00B17779" w:rsidRPr="0074336B" w:rsidRDefault="00B17779"/>
    <w:p w14:paraId="4C06DB95" w14:textId="77777777" w:rsidR="004D14D1" w:rsidRPr="0074336B" w:rsidRDefault="004D14D1"/>
    <w:p w14:paraId="26AEB351" w14:textId="364EA8F3" w:rsidR="00B17779" w:rsidRPr="0074336B" w:rsidRDefault="00B17779" w:rsidP="003F14AE"/>
    <w:sectPr w:rsidR="00B17779" w:rsidRPr="0074336B" w:rsidSect="004D16AF">
      <w:head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5AFD2" w14:textId="77777777" w:rsidR="0035599E" w:rsidRDefault="0035599E" w:rsidP="00CB713D">
      <w:pPr>
        <w:spacing w:after="0" w:line="240" w:lineRule="auto"/>
      </w:pPr>
      <w:r>
        <w:separator/>
      </w:r>
    </w:p>
  </w:endnote>
  <w:endnote w:type="continuationSeparator" w:id="0">
    <w:p w14:paraId="5927F3A0" w14:textId="77777777" w:rsidR="0035599E" w:rsidRDefault="0035599E" w:rsidP="00CB7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D260A" w14:textId="77777777" w:rsidR="0035599E" w:rsidRDefault="0035599E" w:rsidP="00CB713D">
      <w:pPr>
        <w:spacing w:after="0" w:line="240" w:lineRule="auto"/>
      </w:pPr>
      <w:r>
        <w:separator/>
      </w:r>
    </w:p>
  </w:footnote>
  <w:footnote w:type="continuationSeparator" w:id="0">
    <w:p w14:paraId="1577AEAB" w14:textId="77777777" w:rsidR="0035599E" w:rsidRDefault="0035599E" w:rsidP="00CB7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94C34" w14:textId="164A4F06" w:rsidR="00CB713D" w:rsidRPr="00E311C4" w:rsidRDefault="004A19CC">
    <w:pPr>
      <w:pStyle w:val="Header"/>
      <w:rPr>
        <w:i/>
      </w:rPr>
    </w:pPr>
    <w:r>
      <w:rPr>
        <w:i/>
      </w:rPr>
      <w:t>Notice to Qualifying Persons</w:t>
    </w:r>
    <w:r w:rsidR="0000662F">
      <w:rPr>
        <w:i/>
      </w:rPr>
      <w:t xml:space="preserve"> </w:t>
    </w:r>
  </w:p>
  <w:p w14:paraId="705AC223" w14:textId="77777777" w:rsidR="00E311C4" w:rsidRDefault="00E311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5E34"/>
    <w:multiLevelType w:val="hybridMultilevel"/>
    <w:tmpl w:val="775ECA02"/>
    <w:lvl w:ilvl="0" w:tplc="0809001B">
      <w:start w:val="1"/>
      <w:numFmt w:val="lowerRoman"/>
      <w:lvlText w:val="%1."/>
      <w:lvlJc w:val="righ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
    <w:nsid w:val="0C8E4F43"/>
    <w:multiLevelType w:val="hybridMultilevel"/>
    <w:tmpl w:val="21366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ED1917"/>
    <w:multiLevelType w:val="hybridMultilevel"/>
    <w:tmpl w:val="6A50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A1D66"/>
    <w:multiLevelType w:val="hybridMultilevel"/>
    <w:tmpl w:val="17B01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640B89"/>
    <w:multiLevelType w:val="hybridMultilevel"/>
    <w:tmpl w:val="AB185728"/>
    <w:lvl w:ilvl="0" w:tplc="0809000F">
      <w:start w:val="1"/>
      <w:numFmt w:val="decimal"/>
      <w:lvlText w:val="%1."/>
      <w:lvlJc w:val="left"/>
      <w:pPr>
        <w:tabs>
          <w:tab w:val="num" w:pos="729"/>
        </w:tabs>
        <w:ind w:left="729" w:hanging="360"/>
      </w:pPr>
    </w:lvl>
    <w:lvl w:ilvl="1" w:tplc="08090019" w:tentative="1">
      <w:start w:val="1"/>
      <w:numFmt w:val="lowerLetter"/>
      <w:lvlText w:val="%2."/>
      <w:lvlJc w:val="left"/>
      <w:pPr>
        <w:tabs>
          <w:tab w:val="num" w:pos="1449"/>
        </w:tabs>
        <w:ind w:left="1449" w:hanging="360"/>
      </w:pPr>
    </w:lvl>
    <w:lvl w:ilvl="2" w:tplc="0809001B" w:tentative="1">
      <w:start w:val="1"/>
      <w:numFmt w:val="lowerRoman"/>
      <w:lvlText w:val="%3."/>
      <w:lvlJc w:val="right"/>
      <w:pPr>
        <w:tabs>
          <w:tab w:val="num" w:pos="2169"/>
        </w:tabs>
        <w:ind w:left="2169" w:hanging="180"/>
      </w:pPr>
    </w:lvl>
    <w:lvl w:ilvl="3" w:tplc="0809000F" w:tentative="1">
      <w:start w:val="1"/>
      <w:numFmt w:val="decimal"/>
      <w:lvlText w:val="%4."/>
      <w:lvlJc w:val="left"/>
      <w:pPr>
        <w:tabs>
          <w:tab w:val="num" w:pos="2889"/>
        </w:tabs>
        <w:ind w:left="2889" w:hanging="360"/>
      </w:pPr>
    </w:lvl>
    <w:lvl w:ilvl="4" w:tplc="08090019" w:tentative="1">
      <w:start w:val="1"/>
      <w:numFmt w:val="lowerLetter"/>
      <w:lvlText w:val="%5."/>
      <w:lvlJc w:val="left"/>
      <w:pPr>
        <w:tabs>
          <w:tab w:val="num" w:pos="3609"/>
        </w:tabs>
        <w:ind w:left="3609" w:hanging="360"/>
      </w:pPr>
    </w:lvl>
    <w:lvl w:ilvl="5" w:tplc="0809001B" w:tentative="1">
      <w:start w:val="1"/>
      <w:numFmt w:val="lowerRoman"/>
      <w:lvlText w:val="%6."/>
      <w:lvlJc w:val="right"/>
      <w:pPr>
        <w:tabs>
          <w:tab w:val="num" w:pos="4329"/>
        </w:tabs>
        <w:ind w:left="4329" w:hanging="180"/>
      </w:pPr>
    </w:lvl>
    <w:lvl w:ilvl="6" w:tplc="0809000F" w:tentative="1">
      <w:start w:val="1"/>
      <w:numFmt w:val="decimal"/>
      <w:lvlText w:val="%7."/>
      <w:lvlJc w:val="left"/>
      <w:pPr>
        <w:tabs>
          <w:tab w:val="num" w:pos="5049"/>
        </w:tabs>
        <w:ind w:left="5049" w:hanging="360"/>
      </w:pPr>
    </w:lvl>
    <w:lvl w:ilvl="7" w:tplc="08090019" w:tentative="1">
      <w:start w:val="1"/>
      <w:numFmt w:val="lowerLetter"/>
      <w:lvlText w:val="%8."/>
      <w:lvlJc w:val="left"/>
      <w:pPr>
        <w:tabs>
          <w:tab w:val="num" w:pos="5769"/>
        </w:tabs>
        <w:ind w:left="5769" w:hanging="360"/>
      </w:pPr>
    </w:lvl>
    <w:lvl w:ilvl="8" w:tplc="0809001B" w:tentative="1">
      <w:start w:val="1"/>
      <w:numFmt w:val="lowerRoman"/>
      <w:lvlText w:val="%9."/>
      <w:lvlJc w:val="right"/>
      <w:pPr>
        <w:tabs>
          <w:tab w:val="num" w:pos="6489"/>
        </w:tabs>
        <w:ind w:left="6489" w:hanging="180"/>
      </w:pPr>
    </w:lvl>
  </w:abstractNum>
  <w:abstractNum w:abstractNumId="5">
    <w:nsid w:val="2A2A468D"/>
    <w:multiLevelType w:val="hybridMultilevel"/>
    <w:tmpl w:val="C27C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B54C30"/>
    <w:multiLevelType w:val="hybridMultilevel"/>
    <w:tmpl w:val="25907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D76469"/>
    <w:multiLevelType w:val="hybridMultilevel"/>
    <w:tmpl w:val="C7A814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6C37A88"/>
    <w:multiLevelType w:val="hybridMultilevel"/>
    <w:tmpl w:val="CD8CE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7112AAA"/>
    <w:multiLevelType w:val="hybridMultilevel"/>
    <w:tmpl w:val="0560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5819B5"/>
    <w:multiLevelType w:val="hybridMultilevel"/>
    <w:tmpl w:val="BFBE7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87069D"/>
    <w:multiLevelType w:val="hybridMultilevel"/>
    <w:tmpl w:val="ED28D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D424D6"/>
    <w:multiLevelType w:val="hybridMultilevel"/>
    <w:tmpl w:val="AD8ED504"/>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1"/>
  </w:num>
  <w:num w:numId="5">
    <w:abstractNumId w:val="4"/>
  </w:num>
  <w:num w:numId="6">
    <w:abstractNumId w:val="0"/>
  </w:num>
  <w:num w:numId="7">
    <w:abstractNumId w:val="4"/>
  </w:num>
  <w:num w:numId="8">
    <w:abstractNumId w:val="7"/>
  </w:num>
  <w:num w:numId="9">
    <w:abstractNumId w:val="8"/>
  </w:num>
  <w:num w:numId="10">
    <w:abstractNumId w:val="5"/>
  </w:num>
  <w:num w:numId="11">
    <w:abstractNumId w:val="11"/>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LastOpened" w:val="13/03/2020 11:48"/>
  </w:docVars>
  <w:rsids>
    <w:rsidRoot w:val="00B17779"/>
    <w:rsid w:val="000053D8"/>
    <w:rsid w:val="0000662F"/>
    <w:rsid w:val="00006C8E"/>
    <w:rsid w:val="000112A0"/>
    <w:rsid w:val="00011962"/>
    <w:rsid w:val="00013BB9"/>
    <w:rsid w:val="0002043A"/>
    <w:rsid w:val="0002082A"/>
    <w:rsid w:val="00021E45"/>
    <w:rsid w:val="000360C4"/>
    <w:rsid w:val="00041191"/>
    <w:rsid w:val="0004568E"/>
    <w:rsid w:val="0005033D"/>
    <w:rsid w:val="000527C7"/>
    <w:rsid w:val="00055A00"/>
    <w:rsid w:val="0006375F"/>
    <w:rsid w:val="00064BE4"/>
    <w:rsid w:val="00076E3C"/>
    <w:rsid w:val="00082874"/>
    <w:rsid w:val="00086BD1"/>
    <w:rsid w:val="000914B0"/>
    <w:rsid w:val="000A1A6D"/>
    <w:rsid w:val="000B1502"/>
    <w:rsid w:val="000B3F4F"/>
    <w:rsid w:val="000C0853"/>
    <w:rsid w:val="000C5847"/>
    <w:rsid w:val="000D2E58"/>
    <w:rsid w:val="000D33C2"/>
    <w:rsid w:val="00107091"/>
    <w:rsid w:val="0011308B"/>
    <w:rsid w:val="00115E90"/>
    <w:rsid w:val="00121826"/>
    <w:rsid w:val="001222DE"/>
    <w:rsid w:val="00130047"/>
    <w:rsid w:val="001368D8"/>
    <w:rsid w:val="00152068"/>
    <w:rsid w:val="00160C07"/>
    <w:rsid w:val="0016256B"/>
    <w:rsid w:val="00164043"/>
    <w:rsid w:val="0016450B"/>
    <w:rsid w:val="00167D00"/>
    <w:rsid w:val="00186091"/>
    <w:rsid w:val="00193052"/>
    <w:rsid w:val="0019637E"/>
    <w:rsid w:val="001B3377"/>
    <w:rsid w:val="001B45D9"/>
    <w:rsid w:val="001C7E47"/>
    <w:rsid w:val="001E5B08"/>
    <w:rsid w:val="001F08C1"/>
    <w:rsid w:val="001F3189"/>
    <w:rsid w:val="001F3404"/>
    <w:rsid w:val="002043F2"/>
    <w:rsid w:val="002221A9"/>
    <w:rsid w:val="00226A40"/>
    <w:rsid w:val="002275F4"/>
    <w:rsid w:val="0023145D"/>
    <w:rsid w:val="00242A07"/>
    <w:rsid w:val="0024696D"/>
    <w:rsid w:val="00260867"/>
    <w:rsid w:val="00260D2B"/>
    <w:rsid w:val="00272689"/>
    <w:rsid w:val="002805A9"/>
    <w:rsid w:val="00282A62"/>
    <w:rsid w:val="002862D0"/>
    <w:rsid w:val="00296D80"/>
    <w:rsid w:val="002A77D0"/>
    <w:rsid w:val="002B4E48"/>
    <w:rsid w:val="002B6DA6"/>
    <w:rsid w:val="002C7C5B"/>
    <w:rsid w:val="002D22A9"/>
    <w:rsid w:val="002D4792"/>
    <w:rsid w:val="002D56AE"/>
    <w:rsid w:val="002D70E2"/>
    <w:rsid w:val="002D72B1"/>
    <w:rsid w:val="002E55EB"/>
    <w:rsid w:val="002F7E4A"/>
    <w:rsid w:val="00301F79"/>
    <w:rsid w:val="00342057"/>
    <w:rsid w:val="0035599E"/>
    <w:rsid w:val="00364FF2"/>
    <w:rsid w:val="00366D77"/>
    <w:rsid w:val="003761E0"/>
    <w:rsid w:val="00385C9D"/>
    <w:rsid w:val="003A2724"/>
    <w:rsid w:val="003A4ED8"/>
    <w:rsid w:val="003A4EEC"/>
    <w:rsid w:val="003B0302"/>
    <w:rsid w:val="003B059D"/>
    <w:rsid w:val="003B1028"/>
    <w:rsid w:val="003B2989"/>
    <w:rsid w:val="003B6B09"/>
    <w:rsid w:val="003C79D4"/>
    <w:rsid w:val="003C7CC2"/>
    <w:rsid w:val="003E5B10"/>
    <w:rsid w:val="003F14AE"/>
    <w:rsid w:val="003F2432"/>
    <w:rsid w:val="00410B8C"/>
    <w:rsid w:val="0041192F"/>
    <w:rsid w:val="00412323"/>
    <w:rsid w:val="0041307B"/>
    <w:rsid w:val="00415A03"/>
    <w:rsid w:val="00415FF3"/>
    <w:rsid w:val="004164C3"/>
    <w:rsid w:val="00437ED4"/>
    <w:rsid w:val="0044587C"/>
    <w:rsid w:val="0045344B"/>
    <w:rsid w:val="00460A9E"/>
    <w:rsid w:val="004625F4"/>
    <w:rsid w:val="00491546"/>
    <w:rsid w:val="004A19CC"/>
    <w:rsid w:val="004A4D6A"/>
    <w:rsid w:val="004B0F8E"/>
    <w:rsid w:val="004B3C98"/>
    <w:rsid w:val="004D14D1"/>
    <w:rsid w:val="004D16AF"/>
    <w:rsid w:val="004D6972"/>
    <w:rsid w:val="004E6740"/>
    <w:rsid w:val="004E7677"/>
    <w:rsid w:val="004F331F"/>
    <w:rsid w:val="004F4C13"/>
    <w:rsid w:val="00503564"/>
    <w:rsid w:val="00514D56"/>
    <w:rsid w:val="00520A3E"/>
    <w:rsid w:val="00525028"/>
    <w:rsid w:val="00535752"/>
    <w:rsid w:val="00552A58"/>
    <w:rsid w:val="00552ABA"/>
    <w:rsid w:val="005643D3"/>
    <w:rsid w:val="005676C1"/>
    <w:rsid w:val="00572034"/>
    <w:rsid w:val="0057460D"/>
    <w:rsid w:val="00580445"/>
    <w:rsid w:val="00585894"/>
    <w:rsid w:val="00587377"/>
    <w:rsid w:val="005A3C34"/>
    <w:rsid w:val="005A3DFB"/>
    <w:rsid w:val="005B73AC"/>
    <w:rsid w:val="005D6F77"/>
    <w:rsid w:val="005E18BA"/>
    <w:rsid w:val="005F3B54"/>
    <w:rsid w:val="005F6907"/>
    <w:rsid w:val="00601C62"/>
    <w:rsid w:val="00604C9F"/>
    <w:rsid w:val="00605EDB"/>
    <w:rsid w:val="00606D73"/>
    <w:rsid w:val="00613613"/>
    <w:rsid w:val="0062369D"/>
    <w:rsid w:val="00631177"/>
    <w:rsid w:val="00654DC7"/>
    <w:rsid w:val="00661119"/>
    <w:rsid w:val="006617C5"/>
    <w:rsid w:val="00667582"/>
    <w:rsid w:val="006703BD"/>
    <w:rsid w:val="006721E6"/>
    <w:rsid w:val="006739DD"/>
    <w:rsid w:val="00676301"/>
    <w:rsid w:val="00682132"/>
    <w:rsid w:val="006879BD"/>
    <w:rsid w:val="00690967"/>
    <w:rsid w:val="006A03A9"/>
    <w:rsid w:val="006B3516"/>
    <w:rsid w:val="006B7BA0"/>
    <w:rsid w:val="006E3CBD"/>
    <w:rsid w:val="006E4341"/>
    <w:rsid w:val="006F12BD"/>
    <w:rsid w:val="006F458E"/>
    <w:rsid w:val="006F4F65"/>
    <w:rsid w:val="00701611"/>
    <w:rsid w:val="00716FA5"/>
    <w:rsid w:val="007211F1"/>
    <w:rsid w:val="007244A5"/>
    <w:rsid w:val="00726F66"/>
    <w:rsid w:val="00732F0F"/>
    <w:rsid w:val="007377BF"/>
    <w:rsid w:val="0074336B"/>
    <w:rsid w:val="00757D6C"/>
    <w:rsid w:val="00762730"/>
    <w:rsid w:val="00772BB9"/>
    <w:rsid w:val="007740C2"/>
    <w:rsid w:val="00784C96"/>
    <w:rsid w:val="00784F58"/>
    <w:rsid w:val="007902DB"/>
    <w:rsid w:val="00790EB3"/>
    <w:rsid w:val="007939A7"/>
    <w:rsid w:val="007A03E6"/>
    <w:rsid w:val="007A7BC2"/>
    <w:rsid w:val="007C0906"/>
    <w:rsid w:val="007C77D3"/>
    <w:rsid w:val="007D372F"/>
    <w:rsid w:val="007D7536"/>
    <w:rsid w:val="007E3371"/>
    <w:rsid w:val="007E7BFD"/>
    <w:rsid w:val="007F1AA1"/>
    <w:rsid w:val="007F5D27"/>
    <w:rsid w:val="00801A17"/>
    <w:rsid w:val="008220E6"/>
    <w:rsid w:val="00845E31"/>
    <w:rsid w:val="00864B37"/>
    <w:rsid w:val="00885228"/>
    <w:rsid w:val="008A05DD"/>
    <w:rsid w:val="008A0702"/>
    <w:rsid w:val="008B0073"/>
    <w:rsid w:val="008C2BBA"/>
    <w:rsid w:val="008D424C"/>
    <w:rsid w:val="008E4BB6"/>
    <w:rsid w:val="009125BA"/>
    <w:rsid w:val="009137BD"/>
    <w:rsid w:val="009166B2"/>
    <w:rsid w:val="00924AF9"/>
    <w:rsid w:val="0094040C"/>
    <w:rsid w:val="0094489A"/>
    <w:rsid w:val="009548AB"/>
    <w:rsid w:val="00963094"/>
    <w:rsid w:val="009634CE"/>
    <w:rsid w:val="00986556"/>
    <w:rsid w:val="00993BCC"/>
    <w:rsid w:val="0099759C"/>
    <w:rsid w:val="009A689F"/>
    <w:rsid w:val="009B1207"/>
    <w:rsid w:val="009B29A7"/>
    <w:rsid w:val="009D12DB"/>
    <w:rsid w:val="009E3219"/>
    <w:rsid w:val="009F78C5"/>
    <w:rsid w:val="009F79D9"/>
    <w:rsid w:val="009F7A7D"/>
    <w:rsid w:val="00A03FAB"/>
    <w:rsid w:val="00A077ED"/>
    <w:rsid w:val="00A14C1E"/>
    <w:rsid w:val="00A1576E"/>
    <w:rsid w:val="00A2186A"/>
    <w:rsid w:val="00A26359"/>
    <w:rsid w:val="00A37C41"/>
    <w:rsid w:val="00A44741"/>
    <w:rsid w:val="00A45EAB"/>
    <w:rsid w:val="00A530B2"/>
    <w:rsid w:val="00A5384A"/>
    <w:rsid w:val="00A62807"/>
    <w:rsid w:val="00A62892"/>
    <w:rsid w:val="00A64031"/>
    <w:rsid w:val="00AA2BF1"/>
    <w:rsid w:val="00AA72C5"/>
    <w:rsid w:val="00AC4DD8"/>
    <w:rsid w:val="00AD402C"/>
    <w:rsid w:val="00AD55D8"/>
    <w:rsid w:val="00AD5723"/>
    <w:rsid w:val="00AF1F89"/>
    <w:rsid w:val="00AF3CBA"/>
    <w:rsid w:val="00AF3D5A"/>
    <w:rsid w:val="00B026CD"/>
    <w:rsid w:val="00B17779"/>
    <w:rsid w:val="00B22D7F"/>
    <w:rsid w:val="00B30F94"/>
    <w:rsid w:val="00B34006"/>
    <w:rsid w:val="00B41A6D"/>
    <w:rsid w:val="00B43FBB"/>
    <w:rsid w:val="00B44333"/>
    <w:rsid w:val="00B469C6"/>
    <w:rsid w:val="00B722E7"/>
    <w:rsid w:val="00B83E48"/>
    <w:rsid w:val="00B85524"/>
    <w:rsid w:val="00B942F6"/>
    <w:rsid w:val="00BA498D"/>
    <w:rsid w:val="00BA50B2"/>
    <w:rsid w:val="00BB2857"/>
    <w:rsid w:val="00BC0B25"/>
    <w:rsid w:val="00BC1DB6"/>
    <w:rsid w:val="00BD1B92"/>
    <w:rsid w:val="00BE3F02"/>
    <w:rsid w:val="00BF3EA2"/>
    <w:rsid w:val="00C33DD3"/>
    <w:rsid w:val="00C3739D"/>
    <w:rsid w:val="00C445AE"/>
    <w:rsid w:val="00C537DC"/>
    <w:rsid w:val="00C53DB1"/>
    <w:rsid w:val="00C77008"/>
    <w:rsid w:val="00C80E16"/>
    <w:rsid w:val="00C87FF7"/>
    <w:rsid w:val="00CA0268"/>
    <w:rsid w:val="00CA7CE1"/>
    <w:rsid w:val="00CB713D"/>
    <w:rsid w:val="00CC00EC"/>
    <w:rsid w:val="00CD5002"/>
    <w:rsid w:val="00D0045F"/>
    <w:rsid w:val="00D01613"/>
    <w:rsid w:val="00D04BB9"/>
    <w:rsid w:val="00D12A15"/>
    <w:rsid w:val="00D14004"/>
    <w:rsid w:val="00D21A2F"/>
    <w:rsid w:val="00D27325"/>
    <w:rsid w:val="00D3334B"/>
    <w:rsid w:val="00D34C5A"/>
    <w:rsid w:val="00D41019"/>
    <w:rsid w:val="00D519B2"/>
    <w:rsid w:val="00D51E1C"/>
    <w:rsid w:val="00D74C39"/>
    <w:rsid w:val="00D758A4"/>
    <w:rsid w:val="00D82021"/>
    <w:rsid w:val="00D83B7F"/>
    <w:rsid w:val="00D869B6"/>
    <w:rsid w:val="00D900A5"/>
    <w:rsid w:val="00D95C62"/>
    <w:rsid w:val="00DA7E1B"/>
    <w:rsid w:val="00DB130B"/>
    <w:rsid w:val="00DC00E5"/>
    <w:rsid w:val="00DE7AA9"/>
    <w:rsid w:val="00DF20A1"/>
    <w:rsid w:val="00E011F3"/>
    <w:rsid w:val="00E22EF9"/>
    <w:rsid w:val="00E2614E"/>
    <w:rsid w:val="00E3061F"/>
    <w:rsid w:val="00E311C4"/>
    <w:rsid w:val="00E505CE"/>
    <w:rsid w:val="00E54EAF"/>
    <w:rsid w:val="00E55139"/>
    <w:rsid w:val="00E553C3"/>
    <w:rsid w:val="00E56608"/>
    <w:rsid w:val="00E648E0"/>
    <w:rsid w:val="00E6507F"/>
    <w:rsid w:val="00E77AEA"/>
    <w:rsid w:val="00E81BD3"/>
    <w:rsid w:val="00E8293D"/>
    <w:rsid w:val="00E91849"/>
    <w:rsid w:val="00E94970"/>
    <w:rsid w:val="00E96F06"/>
    <w:rsid w:val="00EA2E6E"/>
    <w:rsid w:val="00EA310D"/>
    <w:rsid w:val="00EA6845"/>
    <w:rsid w:val="00EB1D5C"/>
    <w:rsid w:val="00EB4268"/>
    <w:rsid w:val="00EC303C"/>
    <w:rsid w:val="00ED0793"/>
    <w:rsid w:val="00ED0D4E"/>
    <w:rsid w:val="00EE29B7"/>
    <w:rsid w:val="00EE31F2"/>
    <w:rsid w:val="00EE6A13"/>
    <w:rsid w:val="00EF5C4A"/>
    <w:rsid w:val="00F02293"/>
    <w:rsid w:val="00F419BE"/>
    <w:rsid w:val="00F4310F"/>
    <w:rsid w:val="00F4368A"/>
    <w:rsid w:val="00F548B2"/>
    <w:rsid w:val="00F56EFF"/>
    <w:rsid w:val="00F75386"/>
    <w:rsid w:val="00F77A7C"/>
    <w:rsid w:val="00F80F7B"/>
    <w:rsid w:val="00F83D06"/>
    <w:rsid w:val="00F94300"/>
    <w:rsid w:val="00FA1D3E"/>
    <w:rsid w:val="00FA3028"/>
    <w:rsid w:val="00FC245C"/>
    <w:rsid w:val="00FD321D"/>
    <w:rsid w:val="00FD5505"/>
    <w:rsid w:val="00FE06A3"/>
    <w:rsid w:val="00FF0281"/>
    <w:rsid w:val="00FF2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5F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779"/>
    <w:rPr>
      <w:color w:val="0563C1" w:themeColor="hyperlink"/>
      <w:u w:val="single"/>
    </w:rPr>
  </w:style>
  <w:style w:type="paragraph" w:styleId="Header">
    <w:name w:val="header"/>
    <w:basedOn w:val="Normal"/>
    <w:link w:val="HeaderChar"/>
    <w:uiPriority w:val="99"/>
    <w:unhideWhenUsed/>
    <w:rsid w:val="00CB7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13D"/>
  </w:style>
  <w:style w:type="paragraph" w:styleId="Footer">
    <w:name w:val="footer"/>
    <w:basedOn w:val="Normal"/>
    <w:link w:val="FooterChar"/>
    <w:uiPriority w:val="99"/>
    <w:unhideWhenUsed/>
    <w:rsid w:val="00CB7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13D"/>
  </w:style>
  <w:style w:type="paragraph" w:styleId="ListParagraph">
    <w:name w:val="List Paragraph"/>
    <w:basedOn w:val="Normal"/>
    <w:uiPriority w:val="34"/>
    <w:qFormat/>
    <w:rsid w:val="004D16AF"/>
    <w:pPr>
      <w:ind w:left="720"/>
      <w:contextualSpacing/>
    </w:pPr>
  </w:style>
  <w:style w:type="paragraph" w:styleId="BalloonText">
    <w:name w:val="Balloon Text"/>
    <w:basedOn w:val="Normal"/>
    <w:link w:val="BalloonTextChar"/>
    <w:uiPriority w:val="99"/>
    <w:semiHidden/>
    <w:unhideWhenUsed/>
    <w:rsid w:val="00086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BD1"/>
    <w:rPr>
      <w:rFonts w:ascii="Segoe UI" w:hAnsi="Segoe UI" w:cs="Segoe UI"/>
      <w:sz w:val="18"/>
      <w:szCs w:val="18"/>
    </w:rPr>
  </w:style>
  <w:style w:type="character" w:styleId="CommentReference">
    <w:name w:val="annotation reference"/>
    <w:basedOn w:val="DefaultParagraphFont"/>
    <w:uiPriority w:val="99"/>
    <w:semiHidden/>
    <w:unhideWhenUsed/>
    <w:rsid w:val="00613613"/>
    <w:rPr>
      <w:sz w:val="16"/>
      <w:szCs w:val="16"/>
    </w:rPr>
  </w:style>
  <w:style w:type="paragraph" w:styleId="CommentText">
    <w:name w:val="annotation text"/>
    <w:basedOn w:val="Normal"/>
    <w:link w:val="CommentTextChar"/>
    <w:uiPriority w:val="99"/>
    <w:semiHidden/>
    <w:unhideWhenUsed/>
    <w:rsid w:val="00613613"/>
    <w:pPr>
      <w:spacing w:line="240" w:lineRule="auto"/>
    </w:pPr>
    <w:rPr>
      <w:sz w:val="20"/>
      <w:szCs w:val="20"/>
    </w:rPr>
  </w:style>
  <w:style w:type="character" w:customStyle="1" w:styleId="CommentTextChar">
    <w:name w:val="Comment Text Char"/>
    <w:basedOn w:val="DefaultParagraphFont"/>
    <w:link w:val="CommentText"/>
    <w:uiPriority w:val="99"/>
    <w:semiHidden/>
    <w:rsid w:val="00613613"/>
    <w:rPr>
      <w:sz w:val="20"/>
      <w:szCs w:val="20"/>
    </w:rPr>
  </w:style>
  <w:style w:type="paragraph" w:styleId="CommentSubject">
    <w:name w:val="annotation subject"/>
    <w:basedOn w:val="CommentText"/>
    <w:next w:val="CommentText"/>
    <w:link w:val="CommentSubjectChar"/>
    <w:uiPriority w:val="99"/>
    <w:semiHidden/>
    <w:unhideWhenUsed/>
    <w:rsid w:val="00613613"/>
    <w:rPr>
      <w:b/>
      <w:bCs/>
    </w:rPr>
  </w:style>
  <w:style w:type="character" w:customStyle="1" w:styleId="CommentSubjectChar">
    <w:name w:val="Comment Subject Char"/>
    <w:basedOn w:val="CommentTextChar"/>
    <w:link w:val="CommentSubject"/>
    <w:uiPriority w:val="99"/>
    <w:semiHidden/>
    <w:rsid w:val="00613613"/>
    <w:rPr>
      <w:b/>
      <w:bCs/>
      <w:sz w:val="20"/>
      <w:szCs w:val="20"/>
    </w:rPr>
  </w:style>
  <w:style w:type="paragraph" w:customStyle="1" w:styleId="msolistparagraph0">
    <w:name w:val="msolistparagraph"/>
    <w:basedOn w:val="Normal"/>
    <w:rsid w:val="00790EB3"/>
    <w:pPr>
      <w:spacing w:after="0" w:line="240" w:lineRule="auto"/>
      <w:ind w:left="720"/>
    </w:pPr>
    <w:rPr>
      <w:rFonts w:ascii="Calibri" w:eastAsia="Calibri" w:hAnsi="Calibri" w:cs="Times New Roman"/>
    </w:rPr>
  </w:style>
  <w:style w:type="table" w:styleId="TableGrid">
    <w:name w:val="Table Grid"/>
    <w:basedOn w:val="TableNormal"/>
    <w:uiPriority w:val="39"/>
    <w:rsid w:val="00EE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779"/>
    <w:rPr>
      <w:color w:val="0563C1" w:themeColor="hyperlink"/>
      <w:u w:val="single"/>
    </w:rPr>
  </w:style>
  <w:style w:type="paragraph" w:styleId="Header">
    <w:name w:val="header"/>
    <w:basedOn w:val="Normal"/>
    <w:link w:val="HeaderChar"/>
    <w:uiPriority w:val="99"/>
    <w:unhideWhenUsed/>
    <w:rsid w:val="00CB7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13D"/>
  </w:style>
  <w:style w:type="paragraph" w:styleId="Footer">
    <w:name w:val="footer"/>
    <w:basedOn w:val="Normal"/>
    <w:link w:val="FooterChar"/>
    <w:uiPriority w:val="99"/>
    <w:unhideWhenUsed/>
    <w:rsid w:val="00CB7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13D"/>
  </w:style>
  <w:style w:type="paragraph" w:styleId="ListParagraph">
    <w:name w:val="List Paragraph"/>
    <w:basedOn w:val="Normal"/>
    <w:uiPriority w:val="34"/>
    <w:qFormat/>
    <w:rsid w:val="004D16AF"/>
    <w:pPr>
      <w:ind w:left="720"/>
      <w:contextualSpacing/>
    </w:pPr>
  </w:style>
  <w:style w:type="paragraph" w:styleId="BalloonText">
    <w:name w:val="Balloon Text"/>
    <w:basedOn w:val="Normal"/>
    <w:link w:val="BalloonTextChar"/>
    <w:uiPriority w:val="99"/>
    <w:semiHidden/>
    <w:unhideWhenUsed/>
    <w:rsid w:val="00086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BD1"/>
    <w:rPr>
      <w:rFonts w:ascii="Segoe UI" w:hAnsi="Segoe UI" w:cs="Segoe UI"/>
      <w:sz w:val="18"/>
      <w:szCs w:val="18"/>
    </w:rPr>
  </w:style>
  <w:style w:type="character" w:styleId="CommentReference">
    <w:name w:val="annotation reference"/>
    <w:basedOn w:val="DefaultParagraphFont"/>
    <w:uiPriority w:val="99"/>
    <w:semiHidden/>
    <w:unhideWhenUsed/>
    <w:rsid w:val="00613613"/>
    <w:rPr>
      <w:sz w:val="16"/>
      <w:szCs w:val="16"/>
    </w:rPr>
  </w:style>
  <w:style w:type="paragraph" w:styleId="CommentText">
    <w:name w:val="annotation text"/>
    <w:basedOn w:val="Normal"/>
    <w:link w:val="CommentTextChar"/>
    <w:uiPriority w:val="99"/>
    <w:semiHidden/>
    <w:unhideWhenUsed/>
    <w:rsid w:val="00613613"/>
    <w:pPr>
      <w:spacing w:line="240" w:lineRule="auto"/>
    </w:pPr>
    <w:rPr>
      <w:sz w:val="20"/>
      <w:szCs w:val="20"/>
    </w:rPr>
  </w:style>
  <w:style w:type="character" w:customStyle="1" w:styleId="CommentTextChar">
    <w:name w:val="Comment Text Char"/>
    <w:basedOn w:val="DefaultParagraphFont"/>
    <w:link w:val="CommentText"/>
    <w:uiPriority w:val="99"/>
    <w:semiHidden/>
    <w:rsid w:val="00613613"/>
    <w:rPr>
      <w:sz w:val="20"/>
      <w:szCs w:val="20"/>
    </w:rPr>
  </w:style>
  <w:style w:type="paragraph" w:styleId="CommentSubject">
    <w:name w:val="annotation subject"/>
    <w:basedOn w:val="CommentText"/>
    <w:next w:val="CommentText"/>
    <w:link w:val="CommentSubjectChar"/>
    <w:uiPriority w:val="99"/>
    <w:semiHidden/>
    <w:unhideWhenUsed/>
    <w:rsid w:val="00613613"/>
    <w:rPr>
      <w:b/>
      <w:bCs/>
    </w:rPr>
  </w:style>
  <w:style w:type="character" w:customStyle="1" w:styleId="CommentSubjectChar">
    <w:name w:val="Comment Subject Char"/>
    <w:basedOn w:val="CommentTextChar"/>
    <w:link w:val="CommentSubject"/>
    <w:uiPriority w:val="99"/>
    <w:semiHidden/>
    <w:rsid w:val="00613613"/>
    <w:rPr>
      <w:b/>
      <w:bCs/>
      <w:sz w:val="20"/>
      <w:szCs w:val="20"/>
    </w:rPr>
  </w:style>
  <w:style w:type="paragraph" w:customStyle="1" w:styleId="msolistparagraph0">
    <w:name w:val="msolistparagraph"/>
    <w:basedOn w:val="Normal"/>
    <w:rsid w:val="00790EB3"/>
    <w:pPr>
      <w:spacing w:after="0" w:line="240" w:lineRule="auto"/>
      <w:ind w:left="720"/>
    </w:pPr>
    <w:rPr>
      <w:rFonts w:ascii="Calibri" w:eastAsia="Calibri" w:hAnsi="Calibri" w:cs="Times New Roman"/>
    </w:rPr>
  </w:style>
  <w:style w:type="table" w:styleId="TableGrid">
    <w:name w:val="Table Grid"/>
    <w:basedOn w:val="TableNormal"/>
    <w:uiPriority w:val="39"/>
    <w:rsid w:val="00EE6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2006">
      <w:bodyDiv w:val="1"/>
      <w:marLeft w:val="0"/>
      <w:marRight w:val="0"/>
      <w:marTop w:val="0"/>
      <w:marBottom w:val="0"/>
      <w:divBdr>
        <w:top w:val="none" w:sz="0" w:space="0" w:color="auto"/>
        <w:left w:val="none" w:sz="0" w:space="0" w:color="auto"/>
        <w:bottom w:val="none" w:sz="0" w:space="0" w:color="auto"/>
        <w:right w:val="none" w:sz="0" w:space="0" w:color="auto"/>
      </w:divBdr>
    </w:div>
    <w:div w:id="109991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pcu@communities.gov.uk" TargetMode="External"/><Relationship Id="rId4" Type="http://schemas.microsoft.com/office/2007/relationships/stylesWithEffects" Target="stylesWithEffects.xml"/><Relationship Id="rId9" Type="http://schemas.openxmlformats.org/officeDocument/2006/relationships/hyperlink" Target="http://www.barnet.gov.uk/regeneration/colinda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7A35-C05D-48C4-87D8-36C23CBC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dc:creator>
  <cp:lastModifiedBy>Rlansdow</cp:lastModifiedBy>
  <cp:revision>2</cp:revision>
  <cp:lastPrinted>2018-11-09T10:29:00Z</cp:lastPrinted>
  <dcterms:created xsi:type="dcterms:W3CDTF">2020-03-13T11:49:00Z</dcterms:created>
  <dcterms:modified xsi:type="dcterms:W3CDTF">2020-03-13T11:49:00Z</dcterms:modified>
</cp:coreProperties>
</file>